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B54" w:rsidRPr="00F82B54" w:rsidRDefault="00F82B54" w:rsidP="00F82B54">
      <w:pPr>
        <w:shd w:val="clear" w:color="auto" w:fill="0066CC"/>
        <w:spacing w:after="0" w:line="240" w:lineRule="auto"/>
        <w:jc w:val="both"/>
        <w:rPr>
          <w:rFonts w:ascii="Calibri Light" w:eastAsia="Times New Roman" w:hAnsi="Calibri Light" w:cs="Calibri Light"/>
          <w:color w:val="0066CC"/>
          <w:lang w:eastAsia="it-IT"/>
        </w:rPr>
      </w:pPr>
      <w:r w:rsidRPr="00F82B54">
        <w:rPr>
          <w:rFonts w:ascii="Calibri Light" w:eastAsia="Times New Roman" w:hAnsi="Calibri Light" w:cs="Calibri Light"/>
          <w:lang w:eastAsia="it-IT"/>
        </w:rPr>
        <w:fldChar w:fldCharType="begin"/>
      </w:r>
      <w:r w:rsidRPr="00F82B54">
        <w:rPr>
          <w:rFonts w:ascii="Calibri Light" w:eastAsia="Times New Roman" w:hAnsi="Calibri Light" w:cs="Calibri Light"/>
          <w:lang w:eastAsia="it-IT"/>
        </w:rPr>
        <w:instrText xml:space="preserve"> HYPERLINK "https://www.agenziacoesione.gov.it/" </w:instrText>
      </w:r>
      <w:r w:rsidRPr="00F82B54">
        <w:rPr>
          <w:rFonts w:ascii="Calibri Light" w:eastAsia="Times New Roman" w:hAnsi="Calibri Light" w:cs="Calibri Light"/>
          <w:lang w:eastAsia="it-IT"/>
        </w:rPr>
        <w:fldChar w:fldCharType="separate"/>
      </w:r>
    </w:p>
    <w:p w:rsidR="00F82B54" w:rsidRPr="00F82B54" w:rsidRDefault="00F82B54" w:rsidP="00F82B54">
      <w:pPr>
        <w:shd w:val="clear" w:color="auto" w:fill="0066CC"/>
        <w:spacing w:after="0" w:line="240" w:lineRule="auto"/>
        <w:jc w:val="center"/>
        <w:outlineLvl w:val="0"/>
        <w:rPr>
          <w:rFonts w:ascii="Calibri Light" w:eastAsia="Times New Roman" w:hAnsi="Calibri Light" w:cs="Calibri Light"/>
          <w:b/>
          <w:bCs/>
          <w:color w:val="FFFFFF"/>
          <w:spacing w:val="-10"/>
          <w:kern w:val="36"/>
          <w:sz w:val="40"/>
          <w:szCs w:val="40"/>
          <w:lang w:eastAsia="it-IT"/>
        </w:rPr>
      </w:pPr>
      <w:r w:rsidRPr="00F82B54">
        <w:rPr>
          <w:rFonts w:ascii="Calibri Light" w:eastAsia="Times New Roman" w:hAnsi="Calibri Light" w:cs="Calibri Light"/>
          <w:b/>
          <w:bCs/>
          <w:color w:val="FFFFFF"/>
          <w:spacing w:val="-10"/>
          <w:kern w:val="36"/>
          <w:sz w:val="40"/>
          <w:szCs w:val="40"/>
          <w:lang w:eastAsia="it-IT"/>
        </w:rPr>
        <w:t>Agenzia per la Coesione Territoriale</w:t>
      </w:r>
    </w:p>
    <w:p w:rsidR="00F82B54" w:rsidRPr="00F82B54" w:rsidRDefault="00F82B54" w:rsidP="00F82B54">
      <w:pPr>
        <w:shd w:val="clear" w:color="auto" w:fill="0066CC"/>
        <w:spacing w:after="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fldChar w:fldCharType="end"/>
      </w:r>
    </w:p>
    <w:p w:rsidR="00F82B54" w:rsidRPr="00F82B54" w:rsidRDefault="00F82B54" w:rsidP="00F82B54">
      <w:pPr>
        <w:numPr>
          <w:ilvl w:val="0"/>
          <w:numId w:val="1"/>
        </w:numPr>
        <w:shd w:val="clear" w:color="auto" w:fill="1276DC"/>
        <w:tabs>
          <w:tab w:val="clear" w:pos="720"/>
          <w:tab w:val="num" w:pos="426"/>
        </w:tabs>
        <w:spacing w:after="0" w:line="315" w:lineRule="atLeast"/>
        <w:ind w:left="426" w:hanging="426"/>
        <w:jc w:val="both"/>
        <w:rPr>
          <w:rFonts w:ascii="Calibri Light" w:eastAsia="Times New Roman" w:hAnsi="Calibri Light" w:cs="Calibri Light"/>
          <w:b/>
          <w:bCs/>
          <w:lang w:eastAsia="it-IT"/>
        </w:rPr>
      </w:pPr>
      <w:hyperlink r:id="rId5" w:tooltip="L'Agenzia" w:history="1">
        <w:r w:rsidRPr="00F82B54">
          <w:rPr>
            <w:rFonts w:ascii="Calibri Light" w:eastAsia="Times New Roman" w:hAnsi="Calibri Light" w:cs="Calibri Light"/>
            <w:b/>
            <w:bCs/>
            <w:color w:val="FFFFFF"/>
            <w:lang w:eastAsia="it-IT"/>
          </w:rPr>
          <w:t>L'Agenzia</w:t>
        </w:r>
      </w:hyperlink>
    </w:p>
    <w:p w:rsidR="00F82B54" w:rsidRPr="00F82B54" w:rsidRDefault="00F82B54" w:rsidP="00F82B54">
      <w:pPr>
        <w:numPr>
          <w:ilvl w:val="0"/>
          <w:numId w:val="1"/>
        </w:numPr>
        <w:shd w:val="clear" w:color="auto" w:fill="1276DC"/>
        <w:tabs>
          <w:tab w:val="clear" w:pos="720"/>
          <w:tab w:val="num" w:pos="426"/>
        </w:tabs>
        <w:spacing w:after="0" w:line="315" w:lineRule="atLeast"/>
        <w:ind w:left="426" w:hanging="426"/>
        <w:jc w:val="both"/>
        <w:rPr>
          <w:rFonts w:ascii="Calibri Light" w:eastAsia="Times New Roman" w:hAnsi="Calibri Light" w:cs="Calibri Light"/>
          <w:b/>
          <w:bCs/>
          <w:lang w:eastAsia="it-IT"/>
        </w:rPr>
      </w:pPr>
      <w:hyperlink r:id="rId6" w:tooltip="La coesione" w:history="1">
        <w:r w:rsidRPr="00F82B54">
          <w:rPr>
            <w:rFonts w:ascii="Calibri Light" w:eastAsia="Times New Roman" w:hAnsi="Calibri Light" w:cs="Calibri Light"/>
            <w:b/>
            <w:bCs/>
            <w:color w:val="FFFFFF"/>
            <w:lang w:eastAsia="it-IT"/>
          </w:rPr>
          <w:t>La coesione</w:t>
        </w:r>
      </w:hyperlink>
    </w:p>
    <w:p w:rsidR="00F82B54" w:rsidRPr="00F82B54" w:rsidRDefault="00F82B54" w:rsidP="00F82B54">
      <w:pPr>
        <w:numPr>
          <w:ilvl w:val="0"/>
          <w:numId w:val="1"/>
        </w:numPr>
        <w:shd w:val="clear" w:color="auto" w:fill="1276DC"/>
        <w:tabs>
          <w:tab w:val="clear" w:pos="720"/>
          <w:tab w:val="num" w:pos="426"/>
        </w:tabs>
        <w:spacing w:after="0" w:line="315" w:lineRule="atLeast"/>
        <w:ind w:left="426" w:hanging="426"/>
        <w:jc w:val="both"/>
        <w:rPr>
          <w:rFonts w:ascii="Calibri Light" w:eastAsia="Times New Roman" w:hAnsi="Calibri Light" w:cs="Calibri Light"/>
          <w:b/>
          <w:bCs/>
          <w:lang w:eastAsia="it-IT"/>
        </w:rPr>
      </w:pPr>
      <w:hyperlink r:id="rId7" w:tooltip="Comunicazione" w:history="1">
        <w:r w:rsidRPr="00F82B54">
          <w:rPr>
            <w:rFonts w:ascii="Calibri Light" w:eastAsia="Times New Roman" w:hAnsi="Calibri Light" w:cs="Calibri Light"/>
            <w:b/>
            <w:bCs/>
            <w:color w:val="FFFFFF"/>
            <w:lang w:eastAsia="it-IT"/>
          </w:rPr>
          <w:t>Comunicazione</w:t>
        </w:r>
      </w:hyperlink>
    </w:p>
    <w:p w:rsidR="00F82B54" w:rsidRPr="00F82B54" w:rsidRDefault="00F82B54" w:rsidP="00F82B54">
      <w:pPr>
        <w:numPr>
          <w:ilvl w:val="0"/>
          <w:numId w:val="2"/>
        </w:numPr>
        <w:shd w:val="clear" w:color="auto" w:fill="F0F0F0"/>
        <w:tabs>
          <w:tab w:val="clear" w:pos="720"/>
          <w:tab w:val="num" w:pos="426"/>
        </w:tabs>
        <w:spacing w:before="100" w:beforeAutospacing="1" w:after="100" w:afterAutospacing="1" w:line="240" w:lineRule="auto"/>
        <w:ind w:left="426" w:hanging="426"/>
        <w:jc w:val="both"/>
        <w:rPr>
          <w:rFonts w:ascii="Calibri Light" w:eastAsia="Times New Roman" w:hAnsi="Calibri Light" w:cs="Calibri Light"/>
          <w:lang w:eastAsia="it-IT"/>
        </w:rPr>
      </w:pPr>
      <w:hyperlink r:id="rId8" w:tooltip="Vai a Agenzia per la coesione territoriale." w:history="1">
        <w:r w:rsidRPr="00F82B54">
          <w:rPr>
            <w:rFonts w:ascii="Calibri Light" w:eastAsia="Times New Roman" w:hAnsi="Calibri Light" w:cs="Calibri Light"/>
            <w:color w:val="5A6772"/>
            <w:lang w:eastAsia="it-IT"/>
          </w:rPr>
          <w:t>Agenzia per la coesione territoriale</w:t>
        </w:r>
      </w:hyperlink>
    </w:p>
    <w:p w:rsidR="00F82B54" w:rsidRPr="00F82B54" w:rsidRDefault="00F82B54" w:rsidP="00F82B54">
      <w:pPr>
        <w:numPr>
          <w:ilvl w:val="0"/>
          <w:numId w:val="2"/>
        </w:numPr>
        <w:shd w:val="clear" w:color="auto" w:fill="F0F0F0"/>
        <w:tabs>
          <w:tab w:val="clear" w:pos="720"/>
          <w:tab w:val="num" w:pos="426"/>
        </w:tabs>
        <w:spacing w:before="100" w:beforeAutospacing="1" w:after="100" w:afterAutospacing="1" w:line="240" w:lineRule="auto"/>
        <w:ind w:left="426" w:hanging="426"/>
        <w:jc w:val="both"/>
        <w:rPr>
          <w:rFonts w:ascii="Calibri Light" w:eastAsia="Times New Roman" w:hAnsi="Calibri Light" w:cs="Calibri Light"/>
          <w:lang w:eastAsia="it-IT"/>
        </w:rPr>
      </w:pPr>
      <w:hyperlink r:id="rId9" w:tooltip="Vai a La coesione." w:history="1">
        <w:r w:rsidRPr="00F82B54">
          <w:rPr>
            <w:rFonts w:ascii="Calibri Light" w:eastAsia="Times New Roman" w:hAnsi="Calibri Light" w:cs="Calibri Light"/>
            <w:color w:val="5A6772"/>
            <w:lang w:eastAsia="it-IT"/>
          </w:rPr>
          <w:t>La coesione</w:t>
        </w:r>
      </w:hyperlink>
    </w:p>
    <w:p w:rsidR="00F82B54" w:rsidRPr="00F82B54" w:rsidRDefault="00F82B54" w:rsidP="00F82B54">
      <w:pPr>
        <w:numPr>
          <w:ilvl w:val="0"/>
          <w:numId w:val="2"/>
        </w:numPr>
        <w:shd w:val="clear" w:color="auto" w:fill="F0F0F0"/>
        <w:tabs>
          <w:tab w:val="clear" w:pos="720"/>
          <w:tab w:val="num" w:pos="426"/>
        </w:tabs>
        <w:spacing w:before="100" w:beforeAutospacing="1" w:after="100" w:afterAutospacing="1" w:line="240" w:lineRule="auto"/>
        <w:ind w:left="426" w:hanging="426"/>
        <w:jc w:val="both"/>
        <w:rPr>
          <w:rFonts w:ascii="Calibri Light" w:eastAsia="Times New Roman" w:hAnsi="Calibri Light" w:cs="Calibri Light"/>
          <w:lang w:eastAsia="it-IT"/>
        </w:rPr>
      </w:pPr>
      <w:hyperlink r:id="rId10" w:tooltip="Vai a Le politiche di coesione in Italia." w:history="1">
        <w:r w:rsidRPr="00F82B54">
          <w:rPr>
            <w:rFonts w:ascii="Calibri Light" w:eastAsia="Times New Roman" w:hAnsi="Calibri Light" w:cs="Calibri Light"/>
            <w:color w:val="5A6772"/>
            <w:lang w:eastAsia="it-IT"/>
          </w:rPr>
          <w:t>Le politiche di coesione in Italia</w:t>
        </w:r>
      </w:hyperlink>
    </w:p>
    <w:p w:rsidR="00F82B54" w:rsidRPr="00F82B54" w:rsidRDefault="00F82B54" w:rsidP="00F82B54">
      <w:pPr>
        <w:numPr>
          <w:ilvl w:val="0"/>
          <w:numId w:val="2"/>
        </w:numPr>
        <w:shd w:val="clear" w:color="auto" w:fill="F0F0F0"/>
        <w:tabs>
          <w:tab w:val="clear" w:pos="720"/>
          <w:tab w:val="num" w:pos="426"/>
        </w:tabs>
        <w:spacing w:before="100" w:beforeAutospacing="1" w:after="100" w:afterAutospacing="1" w:line="240" w:lineRule="auto"/>
        <w:ind w:left="426" w:hanging="426"/>
        <w:jc w:val="both"/>
        <w:rPr>
          <w:rFonts w:ascii="Calibri Light" w:eastAsia="Times New Roman" w:hAnsi="Calibri Light" w:cs="Calibri Light"/>
          <w:lang w:eastAsia="it-IT"/>
        </w:rPr>
      </w:pPr>
      <w:hyperlink r:id="rId11" w:tooltip="Vai a Strumenti e Programmi." w:history="1">
        <w:r w:rsidRPr="00F82B54">
          <w:rPr>
            <w:rFonts w:ascii="Calibri Light" w:eastAsia="Times New Roman" w:hAnsi="Calibri Light" w:cs="Calibri Light"/>
            <w:color w:val="5A6772"/>
            <w:lang w:eastAsia="it-IT"/>
          </w:rPr>
          <w:t>Strumenti e Programmi</w:t>
        </w:r>
      </w:hyperlink>
    </w:p>
    <w:p w:rsidR="00F82B54" w:rsidRPr="00F82B54" w:rsidRDefault="00F82B54" w:rsidP="00F82B54">
      <w:pPr>
        <w:numPr>
          <w:ilvl w:val="0"/>
          <w:numId w:val="2"/>
        </w:numPr>
        <w:shd w:val="clear" w:color="auto" w:fill="F0F0F0"/>
        <w:tabs>
          <w:tab w:val="clear" w:pos="720"/>
          <w:tab w:val="num" w:pos="426"/>
        </w:tabs>
        <w:spacing w:before="100" w:beforeAutospacing="1" w:after="100" w:afterAutospacing="1" w:line="240" w:lineRule="auto"/>
        <w:ind w:left="426" w:hanging="426"/>
        <w:jc w:val="both"/>
        <w:rPr>
          <w:rFonts w:ascii="Calibri Light" w:eastAsia="Times New Roman" w:hAnsi="Calibri Light" w:cs="Calibri Light"/>
          <w:lang w:eastAsia="it-IT"/>
        </w:rPr>
      </w:pPr>
      <w:hyperlink r:id="rId12" w:tooltip="Vai a Contratti Istituzionali di Sviluppo." w:history="1">
        <w:r w:rsidRPr="00F82B54">
          <w:rPr>
            <w:rFonts w:ascii="Calibri Light" w:eastAsia="Times New Roman" w:hAnsi="Calibri Light" w:cs="Calibri Light"/>
            <w:color w:val="5A6772"/>
            <w:lang w:eastAsia="it-IT"/>
          </w:rPr>
          <w:t>Contratti Istituzionali di Sviluppo</w:t>
        </w:r>
      </w:hyperlink>
    </w:p>
    <w:p w:rsidR="00F82B54" w:rsidRPr="00F82B54" w:rsidRDefault="00F82B54" w:rsidP="00F82B54">
      <w:pPr>
        <w:numPr>
          <w:ilvl w:val="0"/>
          <w:numId w:val="2"/>
        </w:numPr>
        <w:shd w:val="clear" w:color="auto" w:fill="F0F0F0"/>
        <w:tabs>
          <w:tab w:val="clear" w:pos="720"/>
          <w:tab w:val="num" w:pos="426"/>
        </w:tabs>
        <w:spacing w:before="100" w:beforeAutospacing="1" w:after="100" w:afterAutospacing="1" w:line="240" w:lineRule="auto"/>
        <w:ind w:left="426" w:hanging="426"/>
        <w:jc w:val="both"/>
        <w:rPr>
          <w:rFonts w:ascii="Calibri Light" w:eastAsia="Times New Roman" w:hAnsi="Calibri Light" w:cs="Calibri Light"/>
          <w:b/>
          <w:bCs/>
          <w:color w:val="5A6772"/>
          <w:lang w:eastAsia="it-IT"/>
        </w:rPr>
      </w:pPr>
      <w:hyperlink r:id="rId13" w:tooltip="Vai a CIS ACQUA BENE COMUNE." w:history="1">
        <w:r w:rsidRPr="00F82B54">
          <w:rPr>
            <w:rFonts w:ascii="Calibri Light" w:eastAsia="Times New Roman" w:hAnsi="Calibri Light" w:cs="Calibri Light"/>
            <w:b/>
            <w:bCs/>
            <w:color w:val="5A6772"/>
            <w:lang w:eastAsia="it-IT"/>
          </w:rPr>
          <w:t>CIS ACQUA BENE COMUNE</w:t>
        </w:r>
      </w:hyperlink>
    </w:p>
    <w:p w:rsidR="00F82B54" w:rsidRPr="00F82B54" w:rsidRDefault="00F82B54" w:rsidP="00F82B54">
      <w:pPr>
        <w:spacing w:after="300" w:line="240" w:lineRule="auto"/>
        <w:jc w:val="center"/>
        <w:outlineLvl w:val="0"/>
        <w:rPr>
          <w:rFonts w:ascii="Calibri Light" w:eastAsia="Times New Roman" w:hAnsi="Calibri Light" w:cs="Calibri Light"/>
          <w:b/>
          <w:bCs/>
          <w:spacing w:val="-10"/>
          <w:kern w:val="36"/>
          <w:sz w:val="40"/>
          <w:szCs w:val="40"/>
          <w:lang w:eastAsia="it-IT"/>
        </w:rPr>
      </w:pPr>
      <w:r w:rsidRPr="00F82B54">
        <w:rPr>
          <w:rFonts w:ascii="Calibri Light" w:eastAsia="Times New Roman" w:hAnsi="Calibri Light" w:cs="Calibri Light"/>
          <w:b/>
          <w:bCs/>
          <w:spacing w:val="-10"/>
          <w:kern w:val="36"/>
          <w:sz w:val="40"/>
          <w:szCs w:val="40"/>
          <w:lang w:eastAsia="it-IT"/>
        </w:rPr>
        <w:t>CIS ACQUA BENE COMUNE</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pict>
          <v:rect id="_x0000_i1025" style="width:0;height:0" o:hralign="center" o:hrstd="t" o:hr="t" fillcolor="#a0a0a0" stroked="f"/>
        </w:pic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Il primo confronto con le Amministrazioni per la costruzione del Contratto Istituzionale di Sviluppo “Acqua bene comune” ha avuto luogo il 21 luglio a Roma, presso la sala convegni di </w:t>
      </w:r>
      <w:proofErr w:type="spellStart"/>
      <w:r w:rsidRPr="00F82B54">
        <w:rPr>
          <w:rFonts w:ascii="Calibri Light" w:eastAsia="Times New Roman" w:hAnsi="Calibri Light" w:cs="Calibri Light"/>
          <w:i/>
          <w:iCs/>
          <w:lang w:eastAsia="it-IT"/>
        </w:rPr>
        <w:t>Vicus</w:t>
      </w:r>
      <w:proofErr w:type="spellEnd"/>
      <w:r w:rsidRPr="00F82B54">
        <w:rPr>
          <w:rFonts w:ascii="Calibri Light" w:eastAsia="Times New Roman" w:hAnsi="Calibri Light" w:cs="Calibri Light"/>
          <w:i/>
          <w:iCs/>
          <w:lang w:eastAsia="it-IT"/>
        </w:rPr>
        <w:t xml:space="preserve"> </w:t>
      </w:r>
      <w:proofErr w:type="spellStart"/>
      <w:r w:rsidRPr="00F82B54">
        <w:rPr>
          <w:rFonts w:ascii="Calibri Light" w:eastAsia="Times New Roman" w:hAnsi="Calibri Light" w:cs="Calibri Light"/>
          <w:i/>
          <w:iCs/>
          <w:lang w:eastAsia="it-IT"/>
        </w:rPr>
        <w:t>Caprarius</w:t>
      </w:r>
      <w:proofErr w:type="spellEnd"/>
      <w:r w:rsidRPr="00F82B54">
        <w:rPr>
          <w:rFonts w:ascii="Calibri Light" w:eastAsia="Times New Roman" w:hAnsi="Calibri Light" w:cs="Calibri Light"/>
          <w:lang w:eastAsia="it-IT"/>
        </w:rPr>
        <w:t xml:space="preserve">, la Città dell’acqua. Il Ministro per il Sud e la Coesione territoriale Mara </w:t>
      </w:r>
      <w:proofErr w:type="spellStart"/>
      <w:r w:rsidRPr="00F82B54">
        <w:rPr>
          <w:rFonts w:ascii="Calibri Light" w:eastAsia="Times New Roman" w:hAnsi="Calibri Light" w:cs="Calibri Light"/>
          <w:lang w:eastAsia="it-IT"/>
        </w:rPr>
        <w:t>Carfagna</w:t>
      </w:r>
      <w:proofErr w:type="spellEnd"/>
      <w:r w:rsidRPr="00F82B54">
        <w:rPr>
          <w:rFonts w:ascii="Calibri Light" w:eastAsia="Times New Roman" w:hAnsi="Calibri Light" w:cs="Calibri Light"/>
          <w:lang w:eastAsia="it-IT"/>
        </w:rPr>
        <w:t xml:space="preserve"> che ha presieduto la riunione, ha sottolineato come questo CIS rappresenti una delle scadenze più importanti, per un motivo “pratico” e per un motivo “storico”. Il motivo pratico è che sono state individuate le risorse che consentono di agire (FSC 2021-2027 e una quota delle risorse della perequazione infrastrutturale di cui all’art. 15 del DL 121/2021, mantenendo i riparti previsti da ciascuna fonte finanziaria). Il motivo storico è che viviamo tempi difficili per i diritti che consideravamo acquisiti: la crisi climatica sta rendendo il bene più essenziale per la vita, l’acqua, tanto scarso quanto conteso, ed è tempo di occuparsene con azioni concrete.</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È previsto che tutto il territorio nazionale possa esprimere un fabbisogno, proponendo progetti sui seguenti ambiti:</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lastRenderedPageBreak/>
        <w:t>captazione e accumulo;</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potabilizzazione;</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trasporto e distribuzione;</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fognature;</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depurazione;</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riutilizzo e restituzione all’ambiente della risorsa idrica;</w:t>
      </w:r>
    </w:p>
    <w:p w:rsidR="00F82B54" w:rsidRPr="00F82B54" w:rsidRDefault="00F82B54" w:rsidP="00F82B54">
      <w:pPr>
        <w:numPr>
          <w:ilvl w:val="0"/>
          <w:numId w:val="3"/>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monitoraggio dei corpi idrici.</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Le proposte potranno essere presentate da Amministrazioni Centrali, Regioni e Province Autonome, ISPRA, CREA, Enti di Governo degli Ambiti Territoriali Ottimali (EGATO), Gestori del Servio Idrico Integrato, Autorità di distretto idrografico, Consorzi di bonifica, Commissario di Governo per le procedure di infrazione, Commissari ZES, Enti Locali.</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Il</w:t>
      </w:r>
      <w:r w:rsidRPr="00F82B54">
        <w:rPr>
          <w:rFonts w:ascii="Calibri Light" w:eastAsia="Times New Roman" w:hAnsi="Calibri Light" w:cs="Calibri Light"/>
          <w:b/>
          <w:bCs/>
          <w:lang w:eastAsia="it-IT"/>
        </w:rPr>
        <w:t> termine</w:t>
      </w:r>
      <w:r w:rsidRPr="00F82B54">
        <w:rPr>
          <w:rFonts w:ascii="Calibri Light" w:eastAsia="Times New Roman" w:hAnsi="Calibri Light" w:cs="Calibri Light"/>
          <w:lang w:eastAsia="it-IT"/>
        </w:rPr>
        <w:t> per presentare le proposte progettuali </w:t>
      </w:r>
      <w:r w:rsidRPr="00F82B54">
        <w:rPr>
          <w:rFonts w:ascii="Calibri Light" w:eastAsia="Times New Roman" w:hAnsi="Calibri Light" w:cs="Calibri Light"/>
          <w:b/>
          <w:bCs/>
          <w:lang w:eastAsia="it-IT"/>
        </w:rPr>
        <w:t>è stato prorogato al 10 ottobre 2022</w:t>
      </w:r>
      <w:r w:rsidRPr="00F82B54">
        <w:rPr>
          <w:rFonts w:ascii="Calibri Light" w:eastAsia="Times New Roman" w:hAnsi="Calibri Light" w:cs="Calibri Light"/>
          <w:lang w:eastAsia="it-IT"/>
        </w:rPr>
        <w:t> (inizialmente era previsto per il 15 settembre). Le proposte progettuali devono essere presentate secondo il </w:t>
      </w:r>
      <w:hyperlink r:id="rId14" w:tgtFrame="_blank" w:history="1">
        <w:r w:rsidRPr="00F82B54">
          <w:rPr>
            <w:rFonts w:ascii="Calibri Light" w:eastAsia="Times New Roman" w:hAnsi="Calibri Light" w:cs="Calibri Light"/>
            <w:b/>
            <w:bCs/>
            <w:color w:val="0066CC"/>
            <w:lang w:eastAsia="it-IT"/>
          </w:rPr>
          <w:t>format</w:t>
        </w:r>
      </w:hyperlink>
      <w:r w:rsidRPr="00F82B54">
        <w:rPr>
          <w:rFonts w:ascii="Calibri Light" w:eastAsia="Times New Roman" w:hAnsi="Calibri Light" w:cs="Calibri Light"/>
          <w:lang w:eastAsia="it-IT"/>
        </w:rPr>
        <w:t> da utilizzare obbligatoriamente per la predisposizione delle proposte progettuali e inviate al seguente indirizzo mail </w:t>
      </w:r>
      <w:hyperlink r:id="rId15" w:history="1">
        <w:r w:rsidRPr="00F82B54">
          <w:rPr>
            <w:rFonts w:ascii="Calibri Light" w:eastAsia="Times New Roman" w:hAnsi="Calibri Light" w:cs="Calibri Light"/>
            <w:color w:val="0066CC"/>
            <w:lang w:eastAsia="it-IT"/>
          </w:rPr>
          <w:t>cisacqua@invitalia.it</w:t>
        </w:r>
      </w:hyperlink>
      <w:r w:rsidRPr="00F82B54">
        <w:rPr>
          <w:rFonts w:ascii="Calibri Light" w:eastAsia="Times New Roman" w:hAnsi="Calibri Light" w:cs="Calibri Light"/>
          <w:lang w:eastAsia="it-IT"/>
        </w:rPr>
        <w:t>. Il medesimo indirizzo mail potrà essere utilizzato anche per chiedere chiarimenti sulla compilazione del format.</w:t>
      </w:r>
    </w:p>
    <w:p w:rsidR="00F82B54" w:rsidRPr="00F82B54" w:rsidRDefault="00F82B54" w:rsidP="00F82B54">
      <w:pPr>
        <w:spacing w:after="300" w:line="240" w:lineRule="auto"/>
        <w:jc w:val="both"/>
        <w:rPr>
          <w:rFonts w:ascii="Calibri Light" w:eastAsia="Times New Roman" w:hAnsi="Calibri Light" w:cs="Calibri Light"/>
          <w:lang w:eastAsia="it-IT"/>
        </w:rPr>
      </w:pPr>
      <w:bookmarkStart w:id="0" w:name="_GoBack"/>
      <w:bookmarkEnd w:id="0"/>
      <w:r w:rsidRPr="00F82B54">
        <w:rPr>
          <w:rFonts w:ascii="Calibri Light" w:eastAsia="Times New Roman" w:hAnsi="Calibri Light" w:cs="Calibri Light"/>
          <w:lang w:eastAsia="it-IT"/>
        </w:rPr>
        <w:t>Come riportato nella </w:t>
      </w:r>
      <w:hyperlink r:id="rId16" w:tgtFrame="_blank" w:history="1">
        <w:r w:rsidRPr="00F82B54">
          <w:rPr>
            <w:rFonts w:ascii="Calibri Light" w:eastAsia="Times New Roman" w:hAnsi="Calibri Light" w:cs="Calibri Light"/>
            <w:b/>
            <w:bCs/>
            <w:color w:val="0066CC"/>
            <w:lang w:eastAsia="it-IT"/>
          </w:rPr>
          <w:t>nota dell’Agenzia</w:t>
        </w:r>
      </w:hyperlink>
      <w:r w:rsidRPr="00F82B54">
        <w:rPr>
          <w:rFonts w:ascii="Calibri Light" w:eastAsia="Times New Roman" w:hAnsi="Calibri Light" w:cs="Calibri Light"/>
          <w:lang w:eastAsia="it-IT"/>
        </w:rPr>
        <w:t xml:space="preserve">  le proposte saranno esaminate dall’Agenzia e da </w:t>
      </w:r>
      <w:proofErr w:type="spellStart"/>
      <w:r w:rsidRPr="00F82B54">
        <w:rPr>
          <w:rFonts w:ascii="Calibri Light" w:eastAsia="Times New Roman" w:hAnsi="Calibri Light" w:cs="Calibri Light"/>
          <w:lang w:eastAsia="it-IT"/>
        </w:rPr>
        <w:t>Invitalia</w:t>
      </w:r>
      <w:proofErr w:type="spellEnd"/>
      <w:r w:rsidRPr="00F82B54">
        <w:rPr>
          <w:rFonts w:ascii="Calibri Light" w:eastAsia="Times New Roman" w:hAnsi="Calibri Light" w:cs="Calibri Light"/>
          <w:lang w:eastAsia="it-IT"/>
        </w:rPr>
        <w:t xml:space="preserve"> tenendo conto dei seguenti criteri di eleggibilità:</w:t>
      </w:r>
    </w:p>
    <w:p w:rsidR="00F82B54" w:rsidRPr="00F82B54" w:rsidRDefault="00F82B54" w:rsidP="00F82B54">
      <w:pPr>
        <w:numPr>
          <w:ilvl w:val="0"/>
          <w:numId w:val="4"/>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i/>
          <w:iCs/>
          <w:lang w:eastAsia="it-IT"/>
        </w:rPr>
        <w:t>coerenza</w:t>
      </w:r>
      <w:r w:rsidRPr="00F82B54">
        <w:rPr>
          <w:rFonts w:ascii="Calibri Light" w:eastAsia="Times New Roman" w:hAnsi="Calibri Light" w:cs="Calibri Light"/>
          <w:lang w:eastAsia="it-IT"/>
        </w:rPr>
        <w:t> con la pianificazione di settore;</w:t>
      </w:r>
    </w:p>
    <w:p w:rsidR="00F82B54" w:rsidRPr="00F82B54" w:rsidRDefault="00F82B54" w:rsidP="00F82B54">
      <w:pPr>
        <w:numPr>
          <w:ilvl w:val="0"/>
          <w:numId w:val="4"/>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i/>
          <w:iCs/>
          <w:lang w:eastAsia="it-IT"/>
        </w:rPr>
        <w:t>cantierabilità</w:t>
      </w:r>
      <w:r w:rsidRPr="00F82B54">
        <w:rPr>
          <w:rFonts w:ascii="Calibri Light" w:eastAsia="Times New Roman" w:hAnsi="Calibri Light" w:cs="Calibri Light"/>
          <w:lang w:eastAsia="it-IT"/>
        </w:rPr>
        <w:t>, da intendersi come tempi stimati per l’effettivo avvio dei lavori;</w:t>
      </w:r>
    </w:p>
    <w:p w:rsidR="00F82B54" w:rsidRPr="00F82B54" w:rsidRDefault="00F82B54" w:rsidP="00F82B54">
      <w:pPr>
        <w:numPr>
          <w:ilvl w:val="0"/>
          <w:numId w:val="4"/>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i/>
          <w:iCs/>
          <w:lang w:eastAsia="it-IT"/>
        </w:rPr>
        <w:t>strategicità </w:t>
      </w:r>
      <w:r w:rsidRPr="00F82B54">
        <w:rPr>
          <w:rFonts w:ascii="Calibri Light" w:eastAsia="Times New Roman" w:hAnsi="Calibri Light" w:cs="Calibri Light"/>
          <w:lang w:eastAsia="it-IT"/>
        </w:rPr>
        <w:t>degli interventi, mediante la valutazione di indicatori di risultato relativi, ad esempio, alla gestione delle crisi in caso di scarsità di risorsa idrica, alla riduzione del “water divide”, agli interventi che utilizzano tecnologie innovative e a basso impatto ambientale;</w:t>
      </w:r>
    </w:p>
    <w:p w:rsidR="00F82B54" w:rsidRPr="00F82B54" w:rsidRDefault="00F82B54" w:rsidP="00F82B54">
      <w:pPr>
        <w:numPr>
          <w:ilvl w:val="0"/>
          <w:numId w:val="4"/>
        </w:numPr>
        <w:spacing w:before="100" w:beforeAutospacing="1" w:after="100" w:afterAutospacing="1" w:line="240" w:lineRule="auto"/>
        <w:ind w:left="600"/>
        <w:jc w:val="both"/>
        <w:rPr>
          <w:rFonts w:ascii="Calibri Light" w:eastAsia="Times New Roman" w:hAnsi="Calibri Light" w:cs="Calibri Light"/>
          <w:lang w:eastAsia="it-IT"/>
        </w:rPr>
      </w:pPr>
      <w:r w:rsidRPr="00F82B54">
        <w:rPr>
          <w:rFonts w:ascii="Calibri Light" w:eastAsia="Times New Roman" w:hAnsi="Calibri Light" w:cs="Calibri Light"/>
          <w:i/>
          <w:iCs/>
          <w:lang w:eastAsia="it-IT"/>
        </w:rPr>
        <w:t>significatività econom</w:t>
      </w:r>
      <w:r w:rsidRPr="00F82B54">
        <w:rPr>
          <w:rFonts w:ascii="Calibri Light" w:eastAsia="Times New Roman" w:hAnsi="Calibri Light" w:cs="Calibri Light"/>
          <w:lang w:eastAsia="it-IT"/>
        </w:rPr>
        <w:t>ica dell’intervento nel senso che ciascun progetto non potrà avere importo inferiore al milione di euro.</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Le proposte inoltre saranno verificate anche con riferimento alla </w:t>
      </w:r>
      <w:r w:rsidRPr="00F82B54">
        <w:rPr>
          <w:rFonts w:ascii="Calibri Light" w:eastAsia="Times New Roman" w:hAnsi="Calibri Light" w:cs="Calibri Light"/>
          <w:i/>
          <w:iCs/>
          <w:lang w:eastAsia="it-IT"/>
        </w:rPr>
        <w:t xml:space="preserve">complementarietà e integrazione </w:t>
      </w:r>
      <w:r w:rsidRPr="00F82B54">
        <w:rPr>
          <w:rFonts w:ascii="Calibri Light" w:eastAsia="Times New Roman" w:hAnsi="Calibri Light" w:cs="Calibri Light"/>
          <w:lang w:eastAsia="it-IT"/>
        </w:rPr>
        <w:t>rispetto ad altri investimenti già finanziati, in corso di realizzazione o già realizzati (tra questi </w:t>
      </w:r>
      <w:r w:rsidRPr="00F82B54">
        <w:rPr>
          <w:rFonts w:ascii="Calibri Light" w:eastAsia="Times New Roman" w:hAnsi="Calibri Light" w:cs="Calibri Light"/>
          <w:i/>
          <w:iCs/>
          <w:lang w:eastAsia="it-IT"/>
        </w:rPr>
        <w:t>in primis</w:t>
      </w:r>
      <w:r w:rsidRPr="00F82B54">
        <w:rPr>
          <w:rFonts w:ascii="Calibri Light" w:eastAsia="Times New Roman" w:hAnsi="Calibri Light" w:cs="Calibri Light"/>
          <w:lang w:eastAsia="it-IT"/>
        </w:rPr>
        <w:t> le misure del PNRR), anche al fine di evitare sovrapposizioni e discrasie.</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L’Agenzia accompagnerà tutti gli Enti proponenti, beneficiari del finanziamento, attraverso un supporto costante.</w:t>
      </w:r>
    </w:p>
    <w:p w:rsidR="00F82B54" w:rsidRPr="00F82B54" w:rsidRDefault="00F82B54" w:rsidP="00F82B54">
      <w:pPr>
        <w:spacing w:after="300" w:line="240" w:lineRule="auto"/>
        <w:jc w:val="both"/>
        <w:rPr>
          <w:rFonts w:ascii="Calibri Light" w:eastAsia="Times New Roman" w:hAnsi="Calibri Light" w:cs="Calibri Light"/>
          <w:lang w:eastAsia="it-IT"/>
        </w:rPr>
      </w:pPr>
      <w:hyperlink r:id="rId17" w:tgtFrame="_blank" w:history="1">
        <w:r w:rsidRPr="00F82B54">
          <w:rPr>
            <w:rFonts w:ascii="Calibri Light" w:eastAsia="Times New Roman" w:hAnsi="Calibri Light" w:cs="Calibri Light"/>
            <w:b/>
            <w:bCs/>
            <w:color w:val="0066CC"/>
            <w:lang w:eastAsia="it-IT"/>
          </w:rPr>
          <w:t>Allegato: Format schede progetto</w:t>
        </w:r>
      </w:hyperlink>
    </w:p>
    <w:p w:rsidR="00F82B54" w:rsidRPr="00F82B54" w:rsidRDefault="00F82B54" w:rsidP="00F82B54">
      <w:pPr>
        <w:spacing w:after="300" w:line="240" w:lineRule="auto"/>
        <w:jc w:val="both"/>
        <w:rPr>
          <w:rFonts w:ascii="Calibri Light" w:eastAsia="Times New Roman" w:hAnsi="Calibri Light" w:cs="Calibri Light"/>
          <w:lang w:eastAsia="it-IT"/>
        </w:rPr>
      </w:pPr>
      <w:hyperlink r:id="rId18" w:tgtFrame="_blank" w:history="1">
        <w:r w:rsidRPr="00F82B54">
          <w:rPr>
            <w:rFonts w:ascii="Calibri Light" w:eastAsia="Times New Roman" w:hAnsi="Calibri Light" w:cs="Calibri Light"/>
            <w:b/>
            <w:bCs/>
            <w:color w:val="0066CC"/>
            <w:lang w:eastAsia="it-IT"/>
          </w:rPr>
          <w:t>GUIDA ALLA COMPILAZIONE DELLA SCHEDA EXCEL PER LA PRESENTAZIONE DELLE PROPOSTE PROGETTUALI</w:t>
        </w:r>
      </w:hyperlink>
      <w:r w:rsidRPr="00F82B54">
        <w:rPr>
          <w:rFonts w:ascii="Calibri Light" w:eastAsia="Times New Roman" w:hAnsi="Calibri Light" w:cs="Calibri Light"/>
          <w:b/>
          <w:bCs/>
          <w:lang w:eastAsia="it-IT"/>
        </w:rPr>
        <w:t> (Versione aggiornata al 5 Agosto 2022)</w:t>
      </w:r>
    </w:p>
    <w:p w:rsidR="00F82B54" w:rsidRPr="00F82B54" w:rsidRDefault="00F82B54" w:rsidP="00F82B54">
      <w:pPr>
        <w:spacing w:after="300" w:line="240" w:lineRule="auto"/>
        <w:jc w:val="both"/>
        <w:rPr>
          <w:rFonts w:ascii="Calibri Light" w:eastAsia="Times New Roman" w:hAnsi="Calibri Light" w:cs="Calibri Light"/>
          <w:lang w:eastAsia="it-IT"/>
        </w:rPr>
      </w:pPr>
      <w:hyperlink r:id="rId19" w:tgtFrame="_blank" w:history="1">
        <w:r w:rsidRPr="00F82B54">
          <w:rPr>
            <w:rFonts w:ascii="Calibri Light" w:eastAsia="Times New Roman" w:hAnsi="Calibri Light" w:cs="Calibri Light"/>
            <w:b/>
            <w:bCs/>
            <w:color w:val="0066CC"/>
            <w:lang w:eastAsia="it-IT"/>
          </w:rPr>
          <w:t>FAQ</w:t>
        </w:r>
      </w:hyperlink>
      <w:r w:rsidRPr="00F82B54">
        <w:rPr>
          <w:rFonts w:ascii="Calibri Light" w:eastAsia="Times New Roman" w:hAnsi="Calibri Light" w:cs="Calibri Light"/>
          <w:lang w:eastAsia="it-IT"/>
        </w:rPr>
        <w:t> N.1 (Versione aggiornata al 5 Agosto 2022)</w:t>
      </w:r>
    </w:p>
    <w:p w:rsidR="00F82B54" w:rsidRPr="00F82B54" w:rsidRDefault="00F82B54" w:rsidP="00F82B54">
      <w:pPr>
        <w:spacing w:after="300" w:line="240" w:lineRule="auto"/>
        <w:jc w:val="both"/>
        <w:rPr>
          <w:rFonts w:ascii="Calibri Light" w:eastAsia="Times New Roman" w:hAnsi="Calibri Light" w:cs="Calibri Light"/>
          <w:lang w:eastAsia="it-IT"/>
        </w:rPr>
      </w:pPr>
      <w:hyperlink r:id="rId20" w:tgtFrame="_blank" w:history="1">
        <w:r w:rsidRPr="00F82B54">
          <w:rPr>
            <w:rFonts w:ascii="Calibri Light" w:eastAsia="Times New Roman" w:hAnsi="Calibri Light" w:cs="Calibri Light"/>
            <w:b/>
            <w:bCs/>
            <w:color w:val="0066CC"/>
            <w:lang w:eastAsia="it-IT"/>
          </w:rPr>
          <w:t>FAQ N.2</w:t>
        </w:r>
      </w:hyperlink>
      <w:r w:rsidRPr="00F82B54">
        <w:rPr>
          <w:rFonts w:ascii="Calibri Light" w:eastAsia="Times New Roman" w:hAnsi="Calibri Light" w:cs="Calibri Light"/>
          <w:lang w:eastAsia="it-IT"/>
        </w:rPr>
        <w:t> (Pubblicazione 2 settembre 2022)</w:t>
      </w:r>
    </w:p>
    <w:p w:rsidR="00F82B54" w:rsidRPr="00F82B54" w:rsidRDefault="00F82B54" w:rsidP="00F82B54">
      <w:pPr>
        <w:spacing w:before="450" w:after="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pict>
          <v:rect id="_x0000_i1026" style="width:0;height:0" o:hralign="center" o:hrstd="t" o:hr="t" fillcolor="#a0a0a0" stroked="f"/>
        </w:pic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b/>
          <w:bCs/>
          <w:lang w:eastAsia="it-IT"/>
        </w:rPr>
        <w:t>*** COMUNICAZIONE DEL 8 agosto 2022*** </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lastRenderedPageBreak/>
        <w:t>Si comunica che il file della “GUIDA ALLA COMPILAZIONE DELLA SCHEDA EXCEL PER LA PRESENTAZIONE DELLE PROPOSTE PROGETTUALI”, pubblicato venerdì 5 agosto è stato sostituito per un aggiornamento della definizione della “Strategicità” con un altro file in pari data.</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L’aggiornamento ha riguardato esclusivamente il file della Guida, per allineare la definizione di cui sopra alla nota dell’Agenzia prot. 0015618 del 26-07-2022, quest’ultima anche presente sul sito dedicato al Cis “Acqua bene comune”.</w: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t>Si consiglia inoltre di monitorare costantemente la pagina web dedicata al Cis sul sito dell’Agenzia, per eventuali successivi aggiornamenti, compresa la sezione delle FAQ.</w:t>
      </w:r>
    </w:p>
    <w:p w:rsidR="00F82B54" w:rsidRPr="00F82B54" w:rsidRDefault="00F82B54" w:rsidP="00F82B54">
      <w:pPr>
        <w:spacing w:before="450" w:after="0" w:line="240" w:lineRule="auto"/>
        <w:jc w:val="both"/>
        <w:rPr>
          <w:rFonts w:ascii="Calibri Light" w:eastAsia="Times New Roman" w:hAnsi="Calibri Light" w:cs="Calibri Light"/>
          <w:lang w:eastAsia="it-IT"/>
        </w:rPr>
      </w:pPr>
      <w:r w:rsidRPr="00F82B54">
        <w:rPr>
          <w:rFonts w:ascii="Calibri Light" w:eastAsia="Times New Roman" w:hAnsi="Calibri Light" w:cs="Calibri Light"/>
          <w:lang w:eastAsia="it-IT"/>
        </w:rPr>
        <w:pict>
          <v:rect id="_x0000_i1027" style="width:0;height:0" o:hralign="center" o:hrstd="t" o:hr="t" fillcolor="#a0a0a0" stroked="f"/>
        </w:pict>
      </w:r>
    </w:p>
    <w:p w:rsidR="00F82B54" w:rsidRPr="00F82B54" w:rsidRDefault="00F82B54" w:rsidP="00F82B54">
      <w:pPr>
        <w:spacing w:after="300" w:line="240" w:lineRule="auto"/>
        <w:jc w:val="both"/>
        <w:rPr>
          <w:rFonts w:ascii="Calibri Light" w:eastAsia="Times New Roman" w:hAnsi="Calibri Light" w:cs="Calibri Light"/>
          <w:lang w:eastAsia="it-IT"/>
        </w:rPr>
      </w:pPr>
      <w:r w:rsidRPr="00F82B54">
        <w:rPr>
          <w:rFonts w:ascii="Calibri Light" w:eastAsia="Times New Roman" w:hAnsi="Calibri Light" w:cs="Calibri Light"/>
          <w:b/>
          <w:bCs/>
          <w:lang w:eastAsia="it-IT"/>
        </w:rPr>
        <w:t>*** COMUNICAZIONE DEL 6 SETTEMBRE 2022 ***</w:t>
      </w:r>
    </w:p>
    <w:p w:rsidR="00F82B54" w:rsidRPr="00F82B54" w:rsidRDefault="00F82B54" w:rsidP="00F82B54">
      <w:pPr>
        <w:spacing w:after="300" w:line="240" w:lineRule="auto"/>
        <w:jc w:val="both"/>
        <w:rPr>
          <w:rFonts w:ascii="Calibri Light" w:eastAsia="Times New Roman" w:hAnsi="Calibri Light" w:cs="Calibri Light"/>
          <w:lang w:eastAsia="it-IT"/>
        </w:rPr>
      </w:pPr>
      <w:proofErr w:type="gramStart"/>
      <w:r w:rsidRPr="00F82B54">
        <w:rPr>
          <w:rFonts w:ascii="Calibri Light" w:eastAsia="Times New Roman" w:hAnsi="Calibri Light" w:cs="Calibri Light"/>
          <w:lang w:eastAsia="it-IT"/>
        </w:rPr>
        <w:t>E’</w:t>
      </w:r>
      <w:proofErr w:type="gramEnd"/>
      <w:r w:rsidRPr="00F82B54">
        <w:rPr>
          <w:rFonts w:ascii="Calibri Light" w:eastAsia="Times New Roman" w:hAnsi="Calibri Light" w:cs="Calibri Light"/>
          <w:lang w:eastAsia="it-IT"/>
        </w:rPr>
        <w:t xml:space="preserve"> stato prorogato al </w:t>
      </w:r>
      <w:r w:rsidRPr="00F82B54">
        <w:rPr>
          <w:rFonts w:ascii="Calibri Light" w:eastAsia="Times New Roman" w:hAnsi="Calibri Light" w:cs="Calibri Light"/>
          <w:b/>
          <w:bCs/>
          <w:lang w:eastAsia="it-IT"/>
        </w:rPr>
        <w:t>10 ottobre 2022</w:t>
      </w:r>
      <w:r w:rsidRPr="00F82B54">
        <w:rPr>
          <w:rFonts w:ascii="Calibri Light" w:eastAsia="Times New Roman" w:hAnsi="Calibri Light" w:cs="Calibri Light"/>
          <w:lang w:eastAsia="it-IT"/>
        </w:rPr>
        <w:t> il termine per la presentazione delle proposte progettuali da candidare al CIS </w:t>
      </w:r>
      <w:r w:rsidRPr="00F82B54">
        <w:rPr>
          <w:rFonts w:ascii="Calibri Light" w:eastAsia="Times New Roman" w:hAnsi="Calibri Light" w:cs="Calibri Light"/>
          <w:i/>
          <w:iCs/>
          <w:lang w:eastAsia="it-IT"/>
        </w:rPr>
        <w:t>Acqua bene comune,</w:t>
      </w:r>
      <w:r w:rsidRPr="00F82B54">
        <w:rPr>
          <w:rFonts w:ascii="Calibri Light" w:eastAsia="Times New Roman" w:hAnsi="Calibri Light" w:cs="Calibri Light"/>
          <w:lang w:eastAsia="it-IT"/>
        </w:rPr>
        <w:t> inizialmente fissato al 15 settembre 2022. Tale proroga si è resa necessaria al fine di dare seguito alle richieste pervenute dalle regioni e da altri soggetti interessati.</w:t>
      </w:r>
    </w:p>
    <w:p w:rsidR="00E33A69" w:rsidRPr="00F82B54" w:rsidRDefault="00E33A69" w:rsidP="00F82B54">
      <w:pPr>
        <w:jc w:val="both"/>
        <w:rPr>
          <w:rFonts w:ascii="Calibri Light" w:hAnsi="Calibri Light" w:cs="Calibri Light"/>
        </w:rPr>
      </w:pPr>
    </w:p>
    <w:sectPr w:rsidR="00E33A69" w:rsidRPr="00F82B5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6CF4"/>
    <w:multiLevelType w:val="multilevel"/>
    <w:tmpl w:val="39DABD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FB6DEA"/>
    <w:multiLevelType w:val="multilevel"/>
    <w:tmpl w:val="F75A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A05747"/>
    <w:multiLevelType w:val="multilevel"/>
    <w:tmpl w:val="0BEE2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423C0F"/>
    <w:multiLevelType w:val="multilevel"/>
    <w:tmpl w:val="9C3C52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B54"/>
    <w:rsid w:val="00E33A69"/>
    <w:rsid w:val="00F82B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FC411D"/>
  <w15:chartTrackingRefBased/>
  <w15:docId w15:val="{40877EB3-E77D-4848-8498-8AF247D82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947943">
      <w:bodyDiv w:val="1"/>
      <w:marLeft w:val="0"/>
      <w:marRight w:val="0"/>
      <w:marTop w:val="0"/>
      <w:marBottom w:val="0"/>
      <w:divBdr>
        <w:top w:val="none" w:sz="0" w:space="0" w:color="auto"/>
        <w:left w:val="none" w:sz="0" w:space="0" w:color="auto"/>
        <w:bottom w:val="none" w:sz="0" w:space="0" w:color="auto"/>
        <w:right w:val="none" w:sz="0" w:space="0" w:color="auto"/>
      </w:divBdr>
      <w:divsChild>
        <w:div w:id="1346975339">
          <w:marLeft w:val="0"/>
          <w:marRight w:val="0"/>
          <w:marTop w:val="0"/>
          <w:marBottom w:val="0"/>
          <w:divBdr>
            <w:top w:val="none" w:sz="0" w:space="0" w:color="auto"/>
            <w:left w:val="none" w:sz="0" w:space="0" w:color="auto"/>
            <w:bottom w:val="none" w:sz="0" w:space="0" w:color="auto"/>
            <w:right w:val="none" w:sz="0" w:space="0" w:color="auto"/>
          </w:divBdr>
          <w:divsChild>
            <w:div w:id="1281301124">
              <w:marLeft w:val="-120"/>
              <w:marRight w:val="-120"/>
              <w:marTop w:val="0"/>
              <w:marBottom w:val="0"/>
              <w:divBdr>
                <w:top w:val="none" w:sz="0" w:space="0" w:color="auto"/>
                <w:left w:val="none" w:sz="0" w:space="0" w:color="auto"/>
                <w:bottom w:val="none" w:sz="0" w:space="0" w:color="auto"/>
                <w:right w:val="none" w:sz="0" w:space="0" w:color="auto"/>
              </w:divBdr>
              <w:divsChild>
                <w:div w:id="21832751">
                  <w:marLeft w:val="0"/>
                  <w:marRight w:val="0"/>
                  <w:marTop w:val="0"/>
                  <w:marBottom w:val="0"/>
                  <w:divBdr>
                    <w:top w:val="none" w:sz="0" w:space="0" w:color="auto"/>
                    <w:left w:val="none" w:sz="0" w:space="0" w:color="auto"/>
                    <w:bottom w:val="none" w:sz="0" w:space="0" w:color="auto"/>
                    <w:right w:val="none" w:sz="0" w:space="0" w:color="auto"/>
                  </w:divBdr>
                  <w:divsChild>
                    <w:div w:id="910390540">
                      <w:marLeft w:val="0"/>
                      <w:marRight w:val="0"/>
                      <w:marTop w:val="0"/>
                      <w:marBottom w:val="0"/>
                      <w:divBdr>
                        <w:top w:val="none" w:sz="0" w:space="0" w:color="auto"/>
                        <w:left w:val="none" w:sz="0" w:space="0" w:color="auto"/>
                        <w:bottom w:val="none" w:sz="0" w:space="0" w:color="auto"/>
                        <w:right w:val="none" w:sz="0" w:space="0" w:color="auto"/>
                      </w:divBdr>
                      <w:divsChild>
                        <w:div w:id="567301394">
                          <w:marLeft w:val="-120"/>
                          <w:marRight w:val="-120"/>
                          <w:marTop w:val="0"/>
                          <w:marBottom w:val="0"/>
                          <w:divBdr>
                            <w:top w:val="none" w:sz="0" w:space="0" w:color="auto"/>
                            <w:left w:val="none" w:sz="0" w:space="0" w:color="auto"/>
                            <w:bottom w:val="none" w:sz="0" w:space="0" w:color="auto"/>
                            <w:right w:val="none" w:sz="0" w:space="0" w:color="auto"/>
                          </w:divBdr>
                          <w:divsChild>
                            <w:div w:id="96485044">
                              <w:marLeft w:val="0"/>
                              <w:marRight w:val="0"/>
                              <w:marTop w:val="0"/>
                              <w:marBottom w:val="0"/>
                              <w:divBdr>
                                <w:top w:val="none" w:sz="0" w:space="0" w:color="auto"/>
                                <w:left w:val="none" w:sz="0" w:space="0" w:color="auto"/>
                                <w:bottom w:val="none" w:sz="0" w:space="0" w:color="auto"/>
                                <w:right w:val="none" w:sz="0" w:space="0" w:color="auto"/>
                              </w:divBdr>
                              <w:divsChild>
                                <w:div w:id="1524900586">
                                  <w:marLeft w:val="0"/>
                                  <w:marRight w:val="0"/>
                                  <w:marTop w:val="0"/>
                                  <w:marBottom w:val="0"/>
                                  <w:divBdr>
                                    <w:top w:val="none" w:sz="0" w:space="0" w:color="auto"/>
                                    <w:left w:val="none" w:sz="0" w:space="0" w:color="auto"/>
                                    <w:bottom w:val="none" w:sz="0" w:space="0" w:color="auto"/>
                                    <w:right w:val="none" w:sz="0" w:space="0" w:color="auto"/>
                                  </w:divBdr>
                                  <w:divsChild>
                                    <w:div w:id="1481776191">
                                      <w:marLeft w:val="0"/>
                                      <w:marRight w:val="1050"/>
                                      <w:marTop w:val="0"/>
                                      <w:marBottom w:val="0"/>
                                      <w:divBdr>
                                        <w:top w:val="none" w:sz="0" w:space="0" w:color="auto"/>
                                        <w:left w:val="none" w:sz="0" w:space="0" w:color="auto"/>
                                        <w:bottom w:val="none" w:sz="0" w:space="0" w:color="auto"/>
                                        <w:right w:val="none" w:sz="0" w:space="0" w:color="auto"/>
                                      </w:divBdr>
                                      <w:divsChild>
                                        <w:div w:id="511185603">
                                          <w:marLeft w:val="0"/>
                                          <w:marRight w:val="0"/>
                                          <w:marTop w:val="0"/>
                                          <w:marBottom w:val="0"/>
                                          <w:divBdr>
                                            <w:top w:val="none" w:sz="0" w:space="0" w:color="auto"/>
                                            <w:left w:val="none" w:sz="0" w:space="0" w:color="auto"/>
                                            <w:bottom w:val="none" w:sz="0" w:space="0" w:color="auto"/>
                                            <w:right w:val="none" w:sz="0" w:space="0" w:color="auto"/>
                                          </w:divBdr>
                                        </w:div>
                                      </w:divsChild>
                                    </w:div>
                                    <w:div w:id="1530680652">
                                      <w:marLeft w:val="0"/>
                                      <w:marRight w:val="0"/>
                                      <w:marTop w:val="0"/>
                                      <w:marBottom w:val="0"/>
                                      <w:divBdr>
                                        <w:top w:val="none" w:sz="0" w:space="0" w:color="auto"/>
                                        <w:left w:val="none" w:sz="0" w:space="0" w:color="auto"/>
                                        <w:bottom w:val="none" w:sz="0" w:space="0" w:color="auto"/>
                                        <w:right w:val="none" w:sz="0" w:space="0" w:color="auto"/>
                                      </w:divBdr>
                                      <w:divsChild>
                                        <w:div w:id="908538198">
                                          <w:marLeft w:val="0"/>
                                          <w:marRight w:val="300"/>
                                          <w:marTop w:val="0"/>
                                          <w:marBottom w:val="0"/>
                                          <w:divBdr>
                                            <w:top w:val="none" w:sz="0" w:space="0" w:color="auto"/>
                                            <w:left w:val="none" w:sz="0" w:space="0" w:color="auto"/>
                                            <w:bottom w:val="none" w:sz="0" w:space="0" w:color="auto"/>
                                            <w:right w:val="none" w:sz="0" w:space="0" w:color="auto"/>
                                          </w:divBdr>
                                        </w:div>
                                        <w:div w:id="8214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0231470">
                              <w:marLeft w:val="0"/>
                              <w:marRight w:val="0"/>
                              <w:marTop w:val="0"/>
                              <w:marBottom w:val="0"/>
                              <w:divBdr>
                                <w:top w:val="none" w:sz="0" w:space="0" w:color="auto"/>
                                <w:left w:val="none" w:sz="0" w:space="0" w:color="auto"/>
                                <w:bottom w:val="none" w:sz="0" w:space="0" w:color="auto"/>
                                <w:right w:val="none" w:sz="0" w:space="0" w:color="auto"/>
                              </w:divBdr>
                              <w:divsChild>
                                <w:div w:id="908812318">
                                  <w:marLeft w:val="0"/>
                                  <w:marRight w:val="0"/>
                                  <w:marTop w:val="0"/>
                                  <w:marBottom w:val="0"/>
                                  <w:divBdr>
                                    <w:top w:val="none" w:sz="0" w:space="0" w:color="auto"/>
                                    <w:left w:val="none" w:sz="0" w:space="0" w:color="auto"/>
                                    <w:bottom w:val="none" w:sz="0" w:space="0" w:color="auto"/>
                                    <w:right w:val="none" w:sz="0" w:space="0" w:color="auto"/>
                                  </w:divBdr>
                                  <w:divsChild>
                                    <w:div w:id="1355500621">
                                      <w:marLeft w:val="0"/>
                                      <w:marRight w:val="0"/>
                                      <w:marTop w:val="0"/>
                                      <w:marBottom w:val="0"/>
                                      <w:divBdr>
                                        <w:top w:val="none" w:sz="0" w:space="0" w:color="auto"/>
                                        <w:left w:val="none" w:sz="0" w:space="0" w:color="auto"/>
                                        <w:bottom w:val="none" w:sz="0" w:space="0" w:color="auto"/>
                                        <w:right w:val="none" w:sz="0" w:space="0" w:color="auto"/>
                                      </w:divBdr>
                                      <w:divsChild>
                                        <w:div w:id="45070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61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906495">
          <w:marLeft w:val="0"/>
          <w:marRight w:val="0"/>
          <w:marTop w:val="0"/>
          <w:marBottom w:val="0"/>
          <w:divBdr>
            <w:top w:val="none" w:sz="0" w:space="0" w:color="auto"/>
            <w:left w:val="none" w:sz="0" w:space="0" w:color="auto"/>
            <w:bottom w:val="none" w:sz="0" w:space="0" w:color="auto"/>
            <w:right w:val="none" w:sz="0" w:space="0" w:color="auto"/>
          </w:divBdr>
          <w:divsChild>
            <w:div w:id="359009884">
              <w:marLeft w:val="0"/>
              <w:marRight w:val="0"/>
              <w:marTop w:val="0"/>
              <w:marBottom w:val="0"/>
              <w:divBdr>
                <w:top w:val="none" w:sz="0" w:space="0" w:color="auto"/>
                <w:left w:val="none" w:sz="0" w:space="0" w:color="auto"/>
                <w:bottom w:val="none" w:sz="0" w:space="0" w:color="auto"/>
                <w:right w:val="none" w:sz="0" w:space="0" w:color="auto"/>
              </w:divBdr>
              <w:divsChild>
                <w:div w:id="163860076">
                  <w:marLeft w:val="0"/>
                  <w:marRight w:val="0"/>
                  <w:marTop w:val="0"/>
                  <w:marBottom w:val="0"/>
                  <w:divBdr>
                    <w:top w:val="none" w:sz="0" w:space="0" w:color="auto"/>
                    <w:left w:val="none" w:sz="0" w:space="0" w:color="auto"/>
                    <w:bottom w:val="none" w:sz="0" w:space="0" w:color="auto"/>
                    <w:right w:val="none" w:sz="0" w:space="0" w:color="auto"/>
                  </w:divBdr>
                  <w:divsChild>
                    <w:div w:id="197280379">
                      <w:marLeft w:val="0"/>
                      <w:marRight w:val="0"/>
                      <w:marTop w:val="0"/>
                      <w:marBottom w:val="0"/>
                      <w:divBdr>
                        <w:top w:val="none" w:sz="0" w:space="0" w:color="auto"/>
                        <w:left w:val="none" w:sz="0" w:space="0" w:color="auto"/>
                        <w:bottom w:val="none" w:sz="0" w:space="0" w:color="auto"/>
                        <w:right w:val="none" w:sz="0" w:space="0" w:color="auto"/>
                      </w:divBdr>
                    </w:div>
                    <w:div w:id="1397555210">
                      <w:marLeft w:val="0"/>
                      <w:marRight w:val="0"/>
                      <w:marTop w:val="0"/>
                      <w:marBottom w:val="0"/>
                      <w:divBdr>
                        <w:top w:val="none" w:sz="0" w:space="0" w:color="auto"/>
                        <w:left w:val="none" w:sz="0" w:space="0" w:color="auto"/>
                        <w:bottom w:val="none" w:sz="0" w:space="0" w:color="auto"/>
                        <w:right w:val="none" w:sz="0" w:space="0" w:color="auto"/>
                      </w:divBdr>
                      <w:divsChild>
                        <w:div w:id="191026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675199">
          <w:marLeft w:val="0"/>
          <w:marRight w:val="0"/>
          <w:marTop w:val="0"/>
          <w:marBottom w:val="0"/>
          <w:divBdr>
            <w:top w:val="none" w:sz="0" w:space="0" w:color="auto"/>
            <w:left w:val="none" w:sz="0" w:space="0" w:color="auto"/>
            <w:bottom w:val="none" w:sz="0" w:space="0" w:color="auto"/>
            <w:right w:val="none" w:sz="0" w:space="0" w:color="auto"/>
          </w:divBdr>
          <w:divsChild>
            <w:div w:id="19822634">
              <w:marLeft w:val="-120"/>
              <w:marRight w:val="-120"/>
              <w:marTop w:val="0"/>
              <w:marBottom w:val="0"/>
              <w:divBdr>
                <w:top w:val="none" w:sz="0" w:space="0" w:color="auto"/>
                <w:left w:val="none" w:sz="0" w:space="0" w:color="auto"/>
                <w:bottom w:val="none" w:sz="0" w:space="0" w:color="auto"/>
                <w:right w:val="none" w:sz="0" w:space="0" w:color="auto"/>
              </w:divBdr>
              <w:divsChild>
                <w:div w:id="1635063779">
                  <w:marLeft w:val="0"/>
                  <w:marRight w:val="0"/>
                  <w:marTop w:val="0"/>
                  <w:marBottom w:val="0"/>
                  <w:divBdr>
                    <w:top w:val="none" w:sz="0" w:space="0" w:color="auto"/>
                    <w:left w:val="none" w:sz="0" w:space="0" w:color="auto"/>
                    <w:bottom w:val="none" w:sz="0" w:space="0" w:color="auto"/>
                    <w:right w:val="none" w:sz="0" w:space="0" w:color="auto"/>
                  </w:divBdr>
                </w:div>
              </w:divsChild>
            </w:div>
            <w:div w:id="657347692">
              <w:marLeft w:val="-120"/>
              <w:marRight w:val="-120"/>
              <w:marTop w:val="0"/>
              <w:marBottom w:val="0"/>
              <w:divBdr>
                <w:top w:val="none" w:sz="0" w:space="0" w:color="auto"/>
                <w:left w:val="none" w:sz="0" w:space="0" w:color="auto"/>
                <w:bottom w:val="none" w:sz="0" w:space="0" w:color="auto"/>
                <w:right w:val="none" w:sz="0" w:space="0" w:color="auto"/>
              </w:divBdr>
              <w:divsChild>
                <w:div w:id="1899589200">
                  <w:marLeft w:val="0"/>
                  <w:marRight w:val="0"/>
                  <w:marTop w:val="0"/>
                  <w:marBottom w:val="0"/>
                  <w:divBdr>
                    <w:top w:val="none" w:sz="0" w:space="0" w:color="auto"/>
                    <w:left w:val="none" w:sz="0" w:space="0" w:color="auto"/>
                    <w:bottom w:val="none" w:sz="0" w:space="0" w:color="auto"/>
                    <w:right w:val="none" w:sz="0" w:space="0" w:color="auto"/>
                  </w:divBdr>
                  <w:divsChild>
                    <w:div w:id="146932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genziacoesione.gov.it/" TargetMode="External"/><Relationship Id="rId13" Type="http://schemas.openxmlformats.org/officeDocument/2006/relationships/hyperlink" Target="https://www.agenziacoesione.gov.it/lacoesione/le-politiche-di-coesione-in-italia-2014-2020/strumenti-e-programmi/contratti-istituzionali-di-sviluppo/cis-acqua-bene-comune/" TargetMode="External"/><Relationship Id="rId18" Type="http://schemas.openxmlformats.org/officeDocument/2006/relationships/hyperlink" Target="https://www.agenziacoesione.gov.it/wp-content/uploads/2022/08/GUIDA_COMPILAZIONE_SCHEDA_CIS_ACQUA-5-8-22-1.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agenziacoesione.gov.it/comunicazione/" TargetMode="External"/><Relationship Id="rId12" Type="http://schemas.openxmlformats.org/officeDocument/2006/relationships/hyperlink" Target="https://www.agenziacoesione.gov.it/lacoesione/le-politiche-di-coesione-in-italia-2014-2020/strumenti-e-programmi/contratti-istituzionali-di-sviluppo/" TargetMode="External"/><Relationship Id="rId17" Type="http://schemas.openxmlformats.org/officeDocument/2006/relationships/hyperlink" Target="https://www.agenziacoesione.gov.it/wp-content/uploads/2022/07/CIS-Acqua-Bene-Comune-Scheda-di-rilevazione.xlsx" TargetMode="External"/><Relationship Id="rId2" Type="http://schemas.openxmlformats.org/officeDocument/2006/relationships/styles" Target="styles.xml"/><Relationship Id="rId16" Type="http://schemas.openxmlformats.org/officeDocument/2006/relationships/hyperlink" Target="https://www.agenziacoesione.gov.it/wp-content/uploads/2022/07/alct.AlCT_.REGISTRO-UFFICIALEU.0015618.26-07-2022_clean.pdf" TargetMode="External"/><Relationship Id="rId20" Type="http://schemas.openxmlformats.org/officeDocument/2006/relationships/hyperlink" Target="https://www.agenziacoesione.gov.it/wp-content/uploads/2022/09/FAQ-CIS-Acqua-n.-2-del-2_9_22-def.pdf" TargetMode="External"/><Relationship Id="rId1" Type="http://schemas.openxmlformats.org/officeDocument/2006/relationships/numbering" Target="numbering.xml"/><Relationship Id="rId6" Type="http://schemas.openxmlformats.org/officeDocument/2006/relationships/hyperlink" Target="https://www.agenziacoesione.gov.it/lacoesione/" TargetMode="External"/><Relationship Id="rId11" Type="http://schemas.openxmlformats.org/officeDocument/2006/relationships/hyperlink" Target="https://www.agenziacoesione.gov.it/lacoesione/le-politiche-di-coesione-in-italia-2014-2020/strumenti-e-programmi/" TargetMode="External"/><Relationship Id="rId5" Type="http://schemas.openxmlformats.org/officeDocument/2006/relationships/hyperlink" Target="https://www.agenziacoesione.gov.it/lagenzia/" TargetMode="External"/><Relationship Id="rId15" Type="http://schemas.openxmlformats.org/officeDocument/2006/relationships/hyperlink" Target="mailto:cisacqua@invitalia.it" TargetMode="External"/><Relationship Id="rId10" Type="http://schemas.openxmlformats.org/officeDocument/2006/relationships/hyperlink" Target="https://www.agenziacoesione.gov.it/lacoesione/le-politiche-di-coesione-in-italia-2014-2020/" TargetMode="External"/><Relationship Id="rId19" Type="http://schemas.openxmlformats.org/officeDocument/2006/relationships/hyperlink" Target="https://www.agenziacoesione.gov.it/wp-content/uploads/2022/08/FAQ-CIS-Acqua-2_8_22-3.docx" TargetMode="External"/><Relationship Id="rId4" Type="http://schemas.openxmlformats.org/officeDocument/2006/relationships/webSettings" Target="webSettings.xml"/><Relationship Id="rId9" Type="http://schemas.openxmlformats.org/officeDocument/2006/relationships/hyperlink" Target="https://www.agenziacoesione.gov.it/lacoesione/" TargetMode="External"/><Relationship Id="rId14" Type="http://schemas.openxmlformats.org/officeDocument/2006/relationships/hyperlink" Target="https://www.agenziacoesione.gov.it/wp-content/uploads/2022/07/CIS-Acqua-Bene-Comune-Scheda-di-rilevazione.xlsx"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1017</Words>
  <Characters>5803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Viscomi Francesco</dc:creator>
  <cp:keywords/>
  <dc:description/>
  <cp:lastModifiedBy>Viscomi Francesco</cp:lastModifiedBy>
  <cp:revision>1</cp:revision>
  <dcterms:created xsi:type="dcterms:W3CDTF">2022-09-21T07:38:00Z</dcterms:created>
  <dcterms:modified xsi:type="dcterms:W3CDTF">2022-09-21T07:40:00Z</dcterms:modified>
</cp:coreProperties>
</file>