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6EE18" w14:textId="77777777" w:rsidR="00AB02F1" w:rsidRPr="005E7C0D" w:rsidRDefault="00B21522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color w:val="002060"/>
          <w:sz w:val="72"/>
          <w:szCs w:val="72"/>
        </w:rPr>
      </w:pPr>
      <w:bookmarkStart w:id="0" w:name="_GoBack"/>
      <w:bookmarkEnd w:id="0"/>
      <w:r w:rsidRPr="00D1367C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6FCA2D19" wp14:editId="3A30FEBC">
            <wp:extent cx="542925" cy="638175"/>
            <wp:effectExtent l="0" t="0" r="9525" b="9525"/>
            <wp:docPr id="2" name="Immagine 2" descr="stellone-colo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tellone-color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02F1" w:rsidRPr="005E7C0D">
        <w:rPr>
          <w:rFonts w:ascii="Times New Roman" w:hAnsi="Times New Roman" w:cs="Times New Roman"/>
          <w:noProof/>
          <w:color w:val="002060"/>
          <w:sz w:val="72"/>
          <w:szCs w:val="72"/>
        </w:rPr>
        <w:t xml:space="preserve"> </w:t>
      </w:r>
    </w:p>
    <w:p w14:paraId="0418D6CE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24"/>
          <w:szCs w:val="24"/>
        </w:rPr>
      </w:pPr>
      <w:r w:rsidRPr="005E7C0D">
        <w:rPr>
          <w:rFonts w:ascii="Times New Roman" w:hAnsi="Times New Roman" w:cs="Times New Roman"/>
          <w:noProof/>
          <w:color w:val="002060"/>
          <w:sz w:val="24"/>
          <w:szCs w:val="24"/>
        </w:rPr>
        <w:t>Agenzia per la Coesione Territoriale</w:t>
      </w:r>
    </w:p>
    <w:p w14:paraId="47F54645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48"/>
          <w:szCs w:val="48"/>
        </w:rPr>
      </w:pPr>
    </w:p>
    <w:p w14:paraId="2795B011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48"/>
          <w:szCs w:val="48"/>
        </w:rPr>
      </w:pPr>
    </w:p>
    <w:p w14:paraId="34903E57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48"/>
          <w:szCs w:val="48"/>
        </w:rPr>
      </w:pPr>
    </w:p>
    <w:p w14:paraId="1CB451FF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6A6A6" w:themeColor="background1" w:themeShade="A6"/>
          <w:sz w:val="48"/>
          <w:szCs w:val="48"/>
        </w:rPr>
      </w:pPr>
    </w:p>
    <w:p w14:paraId="4CBA5490" w14:textId="77777777" w:rsidR="006E4E49" w:rsidRPr="005E7C0D" w:rsidRDefault="006E4E49" w:rsidP="006E4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E7C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Contratto Istituzionale di Sviluppo </w:t>
      </w:r>
    </w:p>
    <w:p w14:paraId="234B099B" w14:textId="77777777" w:rsidR="006E4E49" w:rsidRPr="005E7C0D" w:rsidRDefault="00D1367C" w:rsidP="006E4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“</w:t>
      </w:r>
      <w:r w:rsidR="006E4E49" w:rsidRPr="005E7C0D">
        <w:rPr>
          <w:rFonts w:ascii="Times New Roman" w:hAnsi="Times New Roman" w:cs="Times New Roman"/>
          <w:b/>
          <w:bCs/>
          <w:iCs/>
          <w:sz w:val="28"/>
          <w:szCs w:val="28"/>
        </w:rPr>
        <w:t>Acqua Bene Comune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”</w:t>
      </w:r>
    </w:p>
    <w:p w14:paraId="10BC4B5D" w14:textId="77777777" w:rsidR="006E4E49" w:rsidRPr="005E7C0D" w:rsidRDefault="006E4E49" w:rsidP="006E4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2A3F046" w14:textId="77777777" w:rsidR="00ED65A4" w:rsidRPr="005E7C0D" w:rsidRDefault="00ED65A4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E7C0D">
        <w:rPr>
          <w:rFonts w:ascii="Times New Roman" w:hAnsi="Times New Roman" w:cs="Times New Roman"/>
          <w:b/>
          <w:bCs/>
          <w:iCs/>
          <w:sz w:val="28"/>
          <w:szCs w:val="28"/>
        </w:rPr>
        <w:t>FAQ</w:t>
      </w:r>
      <w:r w:rsidR="006E4E49" w:rsidRPr="005E7C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al </w:t>
      </w:r>
      <w:r w:rsidR="00C85E38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6E4E49" w:rsidRPr="005E7C0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agosto 2022</w:t>
      </w:r>
    </w:p>
    <w:p w14:paraId="06457DD5" w14:textId="77777777" w:rsidR="006E4E49" w:rsidRPr="005E7C0D" w:rsidRDefault="006E4E49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32F90409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161C94D4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61864E66" w14:textId="77777777" w:rsidR="00AB02F1" w:rsidRPr="005E7C0D" w:rsidRDefault="00AB02F1" w:rsidP="00ED6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787A8089" w14:textId="77777777" w:rsidR="00ED65A4" w:rsidRPr="005E7C0D" w:rsidRDefault="00ED65A4" w:rsidP="00ED65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A1EDAD" w14:textId="77777777" w:rsidR="00AB02F1" w:rsidRPr="005E7C0D" w:rsidRDefault="00AB02F1">
      <w:pPr>
        <w:spacing w:after="200" w:line="276" w:lineRule="auto"/>
        <w:rPr>
          <w:rFonts w:ascii="Times New Roman" w:hAnsi="Times New Roman" w:cs="Times New Roman"/>
          <w:b/>
          <w:color w:val="FF0000"/>
        </w:rPr>
      </w:pPr>
      <w:r w:rsidRPr="005E7C0D">
        <w:rPr>
          <w:rFonts w:ascii="Times New Roman" w:hAnsi="Times New Roman" w:cs="Times New Roman"/>
          <w:b/>
          <w:color w:val="FF0000"/>
        </w:rPr>
        <w:br w:type="page"/>
      </w:r>
    </w:p>
    <w:p w14:paraId="7527BA85" w14:textId="77777777" w:rsidR="00C85E38" w:rsidRDefault="00C85E38" w:rsidP="00C85E38">
      <w:pPr>
        <w:spacing w:before="360" w:after="240"/>
        <w:jc w:val="both"/>
        <w:rPr>
          <w:b/>
          <w:bCs/>
        </w:rPr>
      </w:pPr>
      <w:r>
        <w:rPr>
          <w:b/>
          <w:bCs/>
        </w:rPr>
        <w:lastRenderedPageBreak/>
        <w:t>Con riferimento al CIS Acqua bene comune, i soggetti interessati stanno inviando diverse richieste di chiarimento. L’Agenzia per la Coesione Territoriale e Invitalia hanno raccolto e dove possibile accorpato i diversi quesiti fin ora pervenuti, restituendo di seguito i necessari chiarimenti a beneficio di tutti.</w:t>
      </w:r>
    </w:p>
    <w:p w14:paraId="102B74C2" w14:textId="77777777" w:rsidR="00C85E38" w:rsidRPr="00C85E38" w:rsidRDefault="00C85E38" w:rsidP="00C85E38">
      <w:pPr>
        <w:spacing w:before="360" w:after="240"/>
        <w:jc w:val="both"/>
        <w:rPr>
          <w:b/>
          <w:bCs/>
        </w:rPr>
      </w:pPr>
      <w:r>
        <w:rPr>
          <w:b/>
          <w:bCs/>
        </w:rPr>
        <w:t>Al fine di agevolare ulteriormente la predisposizione delle proposte progettuali, è stata redatta anche una “Guida alla compilazione” del format, consultabile a questo link.</w:t>
      </w:r>
    </w:p>
    <w:p w14:paraId="6E2AF471" w14:textId="77777777" w:rsidR="00235483" w:rsidRPr="005E7C0D" w:rsidRDefault="00235483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 xml:space="preserve">Chi attiva il CIS? Come </w:t>
      </w:r>
      <w:r w:rsidR="009F04A5" w:rsidRPr="005E7C0D">
        <w:rPr>
          <w:b/>
          <w:bCs/>
        </w:rPr>
        <w:t xml:space="preserve">e da chi </w:t>
      </w:r>
      <w:r w:rsidRPr="005E7C0D">
        <w:rPr>
          <w:b/>
          <w:bCs/>
        </w:rPr>
        <w:t>viene garantita la governance del CIS?</w:t>
      </w:r>
    </w:p>
    <w:p w14:paraId="00F07536" w14:textId="77777777" w:rsidR="00D86D77" w:rsidRPr="005E7C0D" w:rsidRDefault="00235483" w:rsidP="005E7C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="00ED65A4" w:rsidRPr="005E7C0D">
        <w:rPr>
          <w:rFonts w:ascii="Times New Roman" w:hAnsi="Times New Roman" w:cs="Times New Roman"/>
          <w:bCs/>
          <w:sz w:val="24"/>
          <w:szCs w:val="24"/>
        </w:rPr>
        <w:t>I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l CIS, ovvero lo strumento per </w:t>
      </w:r>
      <w:r w:rsidRPr="005E7C0D">
        <w:rPr>
          <w:rFonts w:ascii="Times New Roman" w:hAnsi="Times New Roman" w:cs="Times New Roman"/>
          <w:bCs/>
          <w:i/>
          <w:sz w:val="24"/>
          <w:szCs w:val="24"/>
        </w:rPr>
        <w:t>l’attuazione rafforzata</w:t>
      </w: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7C0D">
        <w:rPr>
          <w:rFonts w:ascii="Times New Roman" w:hAnsi="Times New Roman" w:cs="Times New Roman"/>
          <w:bCs/>
          <w:sz w:val="24"/>
          <w:szCs w:val="24"/>
        </w:rPr>
        <w:t>degli interventi per le politiche di sviluppo e coesione, è attivato dal Ministro per il Sud e la Coesione territoriale</w:t>
      </w:r>
      <w:r w:rsidR="00D86D77" w:rsidRPr="005E7C0D">
        <w:rPr>
          <w:rFonts w:ascii="Times New Roman" w:hAnsi="Times New Roman" w:cs="Times New Roman"/>
          <w:bCs/>
          <w:sz w:val="24"/>
          <w:szCs w:val="24"/>
        </w:rPr>
        <w:t>,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 che </w:t>
      </w:r>
      <w:r w:rsidR="00D86D77" w:rsidRPr="005E7C0D">
        <w:rPr>
          <w:rFonts w:ascii="Times New Roman" w:hAnsi="Times New Roman" w:cs="Times New Roman"/>
          <w:bCs/>
          <w:sz w:val="24"/>
          <w:szCs w:val="24"/>
        </w:rPr>
        <w:t xml:space="preserve">ne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presiede anche il Tavolo </w:t>
      </w:r>
      <w:r w:rsidR="00D86D77" w:rsidRPr="005E7C0D">
        <w:rPr>
          <w:rFonts w:ascii="Times New Roman" w:hAnsi="Times New Roman" w:cs="Times New Roman"/>
          <w:bCs/>
          <w:sz w:val="24"/>
          <w:szCs w:val="24"/>
        </w:rPr>
        <w:t>I</w:t>
      </w:r>
      <w:r w:rsidRPr="005E7C0D">
        <w:rPr>
          <w:rFonts w:ascii="Times New Roman" w:hAnsi="Times New Roman" w:cs="Times New Roman"/>
          <w:bCs/>
          <w:sz w:val="24"/>
          <w:szCs w:val="24"/>
        </w:rPr>
        <w:t>stituzionale</w:t>
      </w:r>
      <w:r w:rsidR="00D86D77" w:rsidRPr="005E7C0D">
        <w:rPr>
          <w:rFonts w:ascii="Times New Roman" w:hAnsi="Times New Roman" w:cs="Times New Roman"/>
          <w:bCs/>
          <w:sz w:val="24"/>
          <w:szCs w:val="24"/>
        </w:rPr>
        <w:t xml:space="preserve"> Permanente (TIP)</w:t>
      </w:r>
      <w:r w:rsidRPr="005E7C0D">
        <w:rPr>
          <w:rFonts w:ascii="Times New Roman" w:hAnsi="Times New Roman" w:cs="Times New Roman"/>
          <w:bCs/>
          <w:sz w:val="24"/>
          <w:szCs w:val="24"/>
        </w:rPr>
        <w:t>, organismo di governo del CIS</w:t>
      </w:r>
      <w:r w:rsidR="00D86D77" w:rsidRPr="005E7C0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23CD4A4C" w14:textId="77777777" w:rsidR="0062392F" w:rsidRPr="005E7C0D" w:rsidRDefault="00D86D77" w:rsidP="005E7C0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7C0D">
        <w:rPr>
          <w:rFonts w:ascii="Times New Roman" w:hAnsi="Times New Roman" w:cs="Times New Roman"/>
          <w:bCs/>
          <w:sz w:val="24"/>
          <w:szCs w:val="24"/>
        </w:rPr>
        <w:t xml:space="preserve">Il Ministro 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 xml:space="preserve">si avvale </w:t>
      </w:r>
      <w:r w:rsidRPr="005E7C0D">
        <w:rPr>
          <w:rFonts w:ascii="Times New Roman" w:hAnsi="Times New Roman" w:cs="Times New Roman"/>
          <w:bCs/>
          <w:sz w:val="24"/>
          <w:szCs w:val="24"/>
        </w:rPr>
        <w:t>del Dipartimento per le Politiche di Coesione e dell’Agenzia per la Coesione Territoriale che assicurano vigilanza, controllo e monitoraggio,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mentre 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 xml:space="preserve">Invitalia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riveste il ruolo di 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>soggetto attuatore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; è previsto inoltre 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 xml:space="preserve">un Responsabile Unico del Contratto (RUC) con funzioni di impulso e coordinamento delle attività. Tutti gli interventi saranno monitorati secondo quanto previsto dalla normativa vigente,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con le 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>procedure richieste dalle fonti finanziarie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 che sostengono il CIS</w:t>
      </w:r>
      <w:r w:rsidR="00235483" w:rsidRPr="005E7C0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15A80980" w14:textId="77777777" w:rsidR="00ED65A4" w:rsidRPr="005E7C0D" w:rsidRDefault="00ED65A4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>Quali sono i soggetti titolari per la presentazione delle schede progetto del CIS acqua?</w:t>
      </w:r>
    </w:p>
    <w:p w14:paraId="6A8121D7" w14:textId="77777777" w:rsidR="006948F2" w:rsidRPr="005E7C0D" w:rsidRDefault="00ED65A4" w:rsidP="00CF5A8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>Risposta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: Fra le </w:t>
      </w:r>
      <w:r w:rsidR="008A08D6" w:rsidRPr="005E7C0D">
        <w:rPr>
          <w:rFonts w:ascii="Times New Roman" w:hAnsi="Times New Roman" w:cs="Times New Roman"/>
          <w:bCs/>
          <w:sz w:val="24"/>
          <w:szCs w:val="24"/>
        </w:rPr>
        <w:t xml:space="preserve">Autorità competenti, che </w:t>
      </w:r>
      <w:r w:rsidR="004F7F93" w:rsidRPr="005E7C0D">
        <w:rPr>
          <w:rFonts w:ascii="Times New Roman" w:hAnsi="Times New Roman" w:cs="Times New Roman"/>
          <w:bCs/>
          <w:sz w:val="24"/>
          <w:szCs w:val="24"/>
        </w:rPr>
        <w:t xml:space="preserve">sottoscrivono il CIS </w:t>
      </w:r>
      <w:r w:rsidR="006C7512" w:rsidRPr="005E7C0D">
        <w:rPr>
          <w:rFonts w:ascii="Times New Roman" w:hAnsi="Times New Roman" w:cs="Times New Roman"/>
          <w:bCs/>
          <w:sz w:val="24"/>
          <w:szCs w:val="24"/>
        </w:rPr>
        <w:t>e che possono presentare proposte progettuali</w:t>
      </w:r>
      <w:r w:rsidR="005E7C0D">
        <w:rPr>
          <w:rFonts w:ascii="Times New Roman" w:hAnsi="Times New Roman" w:cs="Times New Roman"/>
          <w:bCs/>
          <w:sz w:val="24"/>
          <w:szCs w:val="24"/>
        </w:rPr>
        <w:t>,</w:t>
      </w:r>
      <w:r w:rsidR="006C7512" w:rsidRPr="005E7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vi </w:t>
      </w:r>
      <w:r w:rsidR="008A08D6" w:rsidRPr="005E7C0D">
        <w:rPr>
          <w:rFonts w:ascii="Times New Roman" w:hAnsi="Times New Roman" w:cs="Times New Roman"/>
          <w:bCs/>
          <w:sz w:val="24"/>
          <w:szCs w:val="24"/>
        </w:rPr>
        <w:t>sono</w:t>
      </w:r>
      <w:r w:rsidR="004F7F93" w:rsidRPr="005E7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Amministrazioni Centrali,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Regioni e Province Autonome,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>l’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ISPRA,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il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CREA,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gli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EGATO,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Gestori del Servio Idrico Integrato,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le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Autorità di distretto idrografico,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Consorzi di bonifica,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il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Commissario 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Unico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di Governo per le procedure di infrazione,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Commissari ZES,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gli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>Enti Locali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>.</w:t>
      </w:r>
    </w:p>
    <w:p w14:paraId="76FC2F59" w14:textId="77777777" w:rsidR="0062392F" w:rsidRPr="005E7C0D" w:rsidRDefault="00CF5A89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 xml:space="preserve">Quale è la Road </w:t>
      </w:r>
      <w:proofErr w:type="spellStart"/>
      <w:r w:rsidRPr="005E7C0D">
        <w:rPr>
          <w:b/>
          <w:bCs/>
        </w:rPr>
        <w:t>Map</w:t>
      </w:r>
      <w:proofErr w:type="spellEnd"/>
      <w:r w:rsidRPr="005E7C0D">
        <w:rPr>
          <w:b/>
          <w:bCs/>
        </w:rPr>
        <w:t xml:space="preserve"> per la definizione del </w:t>
      </w:r>
      <w:proofErr w:type="gramStart"/>
      <w:r w:rsidRPr="005E7C0D">
        <w:rPr>
          <w:b/>
          <w:bCs/>
        </w:rPr>
        <w:t xml:space="preserve">CIS </w:t>
      </w:r>
      <w:r w:rsidR="0062392F" w:rsidRPr="005E7C0D">
        <w:rPr>
          <w:b/>
          <w:bCs/>
        </w:rPr>
        <w:t>?</w:t>
      </w:r>
      <w:proofErr w:type="gramEnd"/>
      <w:r w:rsidR="0062392F" w:rsidRPr="005E7C0D">
        <w:rPr>
          <w:b/>
          <w:bCs/>
        </w:rPr>
        <w:t xml:space="preserve"> </w:t>
      </w:r>
    </w:p>
    <w:p w14:paraId="43B1639D" w14:textId="77777777" w:rsidR="00CF5A89" w:rsidRPr="005E7C0D" w:rsidRDefault="0062392F" w:rsidP="0062392F">
      <w:pPr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 xml:space="preserve">Si conferma che la </w:t>
      </w:r>
      <w:r w:rsidR="00CF5A89" w:rsidRPr="005E7C0D">
        <w:rPr>
          <w:rFonts w:ascii="Times New Roman" w:hAnsi="Times New Roman" w:cs="Times New Roman"/>
          <w:bCs/>
          <w:i/>
          <w:sz w:val="24"/>
          <w:szCs w:val="24"/>
        </w:rPr>
        <w:t xml:space="preserve">Road </w:t>
      </w:r>
      <w:proofErr w:type="spellStart"/>
      <w:r w:rsidR="00CF5A89" w:rsidRPr="005E7C0D">
        <w:rPr>
          <w:rFonts w:ascii="Times New Roman" w:hAnsi="Times New Roman" w:cs="Times New Roman"/>
          <w:bCs/>
          <w:i/>
          <w:sz w:val="24"/>
          <w:szCs w:val="24"/>
        </w:rPr>
        <w:t>Map</w:t>
      </w:r>
      <w:proofErr w:type="spellEnd"/>
      <w:r w:rsidR="00CF5A89" w:rsidRPr="005E7C0D">
        <w:rPr>
          <w:rFonts w:ascii="Times New Roman" w:hAnsi="Times New Roman" w:cs="Times New Roman"/>
          <w:bCs/>
          <w:sz w:val="24"/>
          <w:szCs w:val="24"/>
        </w:rPr>
        <w:t>, come pre-annunciato nell’incontro del 21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 luglio 20</w:t>
      </w:r>
      <w:r w:rsidR="00CF5A89" w:rsidRPr="005E7C0D">
        <w:rPr>
          <w:rFonts w:ascii="Times New Roman" w:hAnsi="Times New Roman" w:cs="Times New Roman"/>
          <w:bCs/>
          <w:sz w:val="24"/>
          <w:szCs w:val="24"/>
        </w:rPr>
        <w:t>22, è quella che segue:</w:t>
      </w:r>
    </w:p>
    <w:p w14:paraId="074768A9" w14:textId="77777777" w:rsidR="00CF5A89" w:rsidRPr="005E7C0D" w:rsidRDefault="00CF5A89" w:rsidP="0062392F">
      <w:pPr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04A94672" wp14:editId="6D003637">
            <wp:extent cx="6120130" cy="130434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0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6E114" w14:textId="77777777" w:rsidR="008B5999" w:rsidRPr="005E7C0D" w:rsidRDefault="008B5999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 xml:space="preserve">Da chi viene condotta l’istruttoria preliminare per la verifica delle proposte presentate nell’ambito del CIS? Come saranno </w:t>
      </w:r>
      <w:r w:rsidR="009F04A5" w:rsidRPr="005E7C0D">
        <w:rPr>
          <w:b/>
          <w:bCs/>
        </w:rPr>
        <w:t xml:space="preserve">assegnate </w:t>
      </w:r>
      <w:r w:rsidRPr="005E7C0D">
        <w:rPr>
          <w:b/>
          <w:bCs/>
        </w:rPr>
        <w:t>le risorse del CIS?</w:t>
      </w:r>
    </w:p>
    <w:p w14:paraId="26759342" w14:textId="77777777" w:rsidR="008B5999" w:rsidRPr="005E7C0D" w:rsidRDefault="008B5999" w:rsidP="008B599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la verifica delle proposte presentate per le successive valutazioni del Ministro 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di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concerto con le Regioni verrà effettuata dall’Agenzia per la Coesione 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>T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erritoriale e da Invitalia.  La </w:t>
      </w:r>
      <w:r w:rsidR="00397228" w:rsidRPr="005E7C0D">
        <w:rPr>
          <w:rFonts w:ascii="Times New Roman" w:hAnsi="Times New Roman" w:cs="Times New Roman"/>
          <w:bCs/>
          <w:sz w:val="24"/>
          <w:szCs w:val="24"/>
        </w:rPr>
        <w:t>quanti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ficazione </w:t>
      </w:r>
      <w:r w:rsidRPr="005E7C0D">
        <w:rPr>
          <w:rFonts w:ascii="Times New Roman" w:hAnsi="Times New Roman" w:cs="Times New Roman"/>
          <w:bCs/>
          <w:sz w:val="24"/>
          <w:szCs w:val="24"/>
        </w:rPr>
        <w:t>delle risorse</w:t>
      </w:r>
      <w:r w:rsidR="009F04A5" w:rsidRPr="005E7C0D">
        <w:rPr>
          <w:rFonts w:ascii="Times New Roman" w:hAnsi="Times New Roman" w:cs="Times New Roman"/>
          <w:bCs/>
          <w:sz w:val="24"/>
          <w:szCs w:val="24"/>
        </w:rPr>
        <w:t xml:space="preserve"> assegnate ai singoli interventi verrà effettuata a seguito del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ricevimento di tutte le schede progetto inviate da parte dei soggetti pubblici interessati </w:t>
      </w:r>
      <w:r w:rsidR="00B21522">
        <w:rPr>
          <w:rFonts w:ascii="Times New Roman" w:hAnsi="Times New Roman" w:cs="Times New Roman"/>
          <w:bCs/>
          <w:sz w:val="24"/>
          <w:szCs w:val="24"/>
        </w:rPr>
        <w:t xml:space="preserve">e istruiti </w:t>
      </w:r>
      <w:r w:rsidR="00397228" w:rsidRPr="005E7C0D">
        <w:rPr>
          <w:rFonts w:ascii="Times New Roman" w:hAnsi="Times New Roman" w:cs="Times New Roman"/>
          <w:bCs/>
          <w:sz w:val="24"/>
          <w:szCs w:val="24"/>
        </w:rPr>
        <w:t xml:space="preserve">secondo i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criteri di </w:t>
      </w:r>
      <w:r w:rsidR="00D1367C">
        <w:rPr>
          <w:rFonts w:ascii="Times New Roman" w:hAnsi="Times New Roman" w:cs="Times New Roman"/>
          <w:bCs/>
          <w:sz w:val="24"/>
          <w:szCs w:val="24"/>
        </w:rPr>
        <w:t>ammissibilità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. Particolare attenzione verrà data agli interventi che «ragioneranno» in un’ottica di </w:t>
      </w:r>
      <w:r w:rsidRPr="005E7C0D">
        <w:rPr>
          <w:rFonts w:ascii="Times New Roman" w:hAnsi="Times New Roman" w:cs="Times New Roman"/>
          <w:bCs/>
          <w:sz w:val="24"/>
          <w:szCs w:val="24"/>
        </w:rPr>
        <w:lastRenderedPageBreak/>
        <w:t>integrazione</w:t>
      </w:r>
      <w:r w:rsidR="00B21522">
        <w:rPr>
          <w:rFonts w:ascii="Times New Roman" w:hAnsi="Times New Roman" w:cs="Times New Roman"/>
          <w:bCs/>
          <w:sz w:val="24"/>
          <w:szCs w:val="24"/>
        </w:rPr>
        <w:t xml:space="preserve"> tra i diversi ambiti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E233D" w:rsidRPr="005E7C0D">
        <w:rPr>
          <w:rFonts w:ascii="Times New Roman" w:hAnsi="Times New Roman" w:cs="Times New Roman"/>
          <w:bCs/>
          <w:sz w:val="24"/>
          <w:szCs w:val="24"/>
        </w:rPr>
        <w:t>verificando al contempo che non vi siano duplicazioni di fonte finanziaria</w:t>
      </w:r>
      <w:r w:rsidR="00D1367C">
        <w:rPr>
          <w:rFonts w:ascii="Times New Roman" w:hAnsi="Times New Roman" w:cs="Times New Roman"/>
          <w:bCs/>
          <w:sz w:val="24"/>
          <w:szCs w:val="24"/>
        </w:rPr>
        <w:t xml:space="preserve"> pubblica</w:t>
      </w:r>
      <w:r w:rsidRPr="005E7C0D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9F2066" w14:textId="77777777" w:rsidR="006E4E49" w:rsidRPr="005E7C0D" w:rsidRDefault="006E4E49" w:rsidP="008B599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AA9F39" w14:textId="77777777" w:rsidR="000F4E2F" w:rsidRPr="00A22D3B" w:rsidRDefault="000F4E2F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A22D3B">
        <w:rPr>
          <w:b/>
          <w:bCs/>
        </w:rPr>
        <w:t xml:space="preserve">Si possono proporre progetti che risultano avere una parziale copertura finanziaria su altre fonti? </w:t>
      </w:r>
    </w:p>
    <w:p w14:paraId="72AB5A6B" w14:textId="77777777" w:rsidR="00DC6A74" w:rsidRPr="005061DA" w:rsidRDefault="000F4E2F" w:rsidP="005E7C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3B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Pr="00A22D3B">
        <w:rPr>
          <w:rFonts w:ascii="Times New Roman" w:hAnsi="Times New Roman" w:cs="Times New Roman"/>
          <w:bCs/>
          <w:sz w:val="24"/>
          <w:szCs w:val="24"/>
        </w:rPr>
        <w:t xml:space="preserve">nel rispetto del principio di addizionalità del </w:t>
      </w:r>
      <w:r w:rsidR="002D4417" w:rsidRPr="00A22D3B">
        <w:rPr>
          <w:rFonts w:ascii="Times New Roman" w:hAnsi="Times New Roman" w:cs="Times New Roman"/>
          <w:bCs/>
          <w:sz w:val="24"/>
          <w:szCs w:val="24"/>
        </w:rPr>
        <w:t xml:space="preserve">Fondo Sviluppo e coesione - </w:t>
      </w:r>
      <w:r w:rsidRPr="00A22D3B">
        <w:rPr>
          <w:rFonts w:ascii="Times New Roman" w:hAnsi="Times New Roman" w:cs="Times New Roman"/>
          <w:bCs/>
          <w:sz w:val="24"/>
          <w:szCs w:val="24"/>
        </w:rPr>
        <w:t>FSC, che prevede che le risorse del Fondo non possano essere sostitutive di spese ordinarie del bilancio dello Stato e degli enti decentrati (in coerenza con l'analogo criterio dell'addizionalità previsto per i Fondi strutturali dell'Unione Europea), i progetti da candidare non devono avere già assegnata alcuna copertura finanziaria pubblica</w:t>
      </w:r>
      <w:r w:rsidR="00B21522" w:rsidRPr="00A22D3B">
        <w:rPr>
          <w:rFonts w:ascii="Times New Roman" w:hAnsi="Times New Roman" w:cs="Times New Roman"/>
          <w:bCs/>
          <w:sz w:val="24"/>
          <w:szCs w:val="24"/>
        </w:rPr>
        <w:t xml:space="preserve"> dei Fondi per la coesione</w:t>
      </w:r>
      <w:r w:rsidRPr="00A22D3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A22D3B">
        <w:rPr>
          <w:rFonts w:ascii="Times New Roman" w:hAnsi="Times New Roman" w:cs="Times New Roman"/>
          <w:bCs/>
          <w:sz w:val="24"/>
          <w:szCs w:val="24"/>
        </w:rPr>
        <w:t>E’</w:t>
      </w:r>
      <w:proofErr w:type="gramEnd"/>
      <w:r w:rsidRPr="00A22D3B">
        <w:rPr>
          <w:rFonts w:ascii="Times New Roman" w:hAnsi="Times New Roman" w:cs="Times New Roman"/>
          <w:bCs/>
          <w:sz w:val="24"/>
          <w:szCs w:val="24"/>
        </w:rPr>
        <w:t xml:space="preserve"> evidente che se dovessero essere finanziati dal CIS, non potranno essere inseriti nella programmazione 21-27 a meno che non si proceda per lotti funzionali assegnando ciascun lotto comunque ad un’unica fonte finanziaria. Ogni intervento (progetto unitario o lotto funzionale) dovrà essere dotato infatti di un CUP cui sarà assegnata un’unica fonte finanziaria.</w:t>
      </w:r>
    </w:p>
    <w:p w14:paraId="32B8BFDF" w14:textId="77777777" w:rsidR="00ED65A4" w:rsidRPr="005E7C0D" w:rsidRDefault="00DC6A74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 xml:space="preserve">Quali tipologie di </w:t>
      </w:r>
      <w:r w:rsidR="00ED65A4" w:rsidRPr="005E7C0D">
        <w:rPr>
          <w:b/>
          <w:bCs/>
        </w:rPr>
        <w:t>intervento</w:t>
      </w:r>
      <w:r w:rsidRPr="005E7C0D">
        <w:rPr>
          <w:b/>
          <w:bCs/>
        </w:rPr>
        <w:t xml:space="preserve"> possono essere finanziate</w:t>
      </w:r>
      <w:r w:rsidR="00ED65A4" w:rsidRPr="005E7C0D">
        <w:rPr>
          <w:b/>
          <w:bCs/>
        </w:rPr>
        <w:t xml:space="preserve">? </w:t>
      </w:r>
    </w:p>
    <w:p w14:paraId="74A5915F" w14:textId="77777777" w:rsidR="00ED65A4" w:rsidRPr="005E7C0D" w:rsidRDefault="00ED65A4" w:rsidP="00ED65A4">
      <w:pPr>
        <w:jc w:val="both"/>
        <w:rPr>
          <w:rFonts w:ascii="Times New Roman" w:hAnsi="Times New Roman" w:cs="Times New Roman"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="009E233D" w:rsidRPr="005E7C0D">
        <w:rPr>
          <w:rFonts w:ascii="Times New Roman" w:hAnsi="Times New Roman" w:cs="Times New Roman"/>
          <w:bCs/>
          <w:sz w:val="24"/>
          <w:szCs w:val="24"/>
        </w:rPr>
        <w:t>di seguito alcuni esempi</w:t>
      </w:r>
      <w:r w:rsidR="009E233D"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7C0D">
        <w:rPr>
          <w:rFonts w:ascii="Times New Roman" w:hAnsi="Times New Roman" w:cs="Times New Roman"/>
          <w:sz w:val="24"/>
          <w:szCs w:val="24"/>
        </w:rPr>
        <w:t xml:space="preserve">di </w:t>
      </w:r>
      <w:r w:rsidR="009E233D" w:rsidRPr="005E7C0D">
        <w:rPr>
          <w:rFonts w:ascii="Times New Roman" w:hAnsi="Times New Roman" w:cs="Times New Roman"/>
          <w:sz w:val="24"/>
          <w:szCs w:val="24"/>
        </w:rPr>
        <w:t xml:space="preserve">tipologie di intervento nei diversi </w:t>
      </w:r>
      <w:r w:rsidRPr="005E7C0D">
        <w:rPr>
          <w:rFonts w:ascii="Times New Roman" w:hAnsi="Times New Roman" w:cs="Times New Roman"/>
          <w:sz w:val="24"/>
          <w:szCs w:val="24"/>
        </w:rPr>
        <w:t xml:space="preserve">ambiti </w:t>
      </w:r>
      <w:r w:rsidR="009E233D" w:rsidRPr="005E7C0D">
        <w:rPr>
          <w:rFonts w:ascii="Times New Roman" w:hAnsi="Times New Roman" w:cs="Times New Roman"/>
          <w:sz w:val="24"/>
          <w:szCs w:val="24"/>
        </w:rPr>
        <w:t>su cui interviene il CIS (l’elenco non è esaustivo)</w:t>
      </w:r>
      <w:r w:rsidRPr="005E7C0D">
        <w:rPr>
          <w:rFonts w:ascii="Times New Roman" w:hAnsi="Times New Roman" w:cs="Times New Roman"/>
          <w:sz w:val="24"/>
          <w:szCs w:val="24"/>
        </w:rPr>
        <w:t>:</w:t>
      </w:r>
    </w:p>
    <w:p w14:paraId="0EC6CEAB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 xml:space="preserve">Captazione e Accumulo - </w:t>
      </w:r>
      <w:r w:rsidRPr="005E7C0D">
        <w:rPr>
          <w:rFonts w:eastAsiaTheme="minorEastAsia"/>
          <w:kern w:val="24"/>
        </w:rPr>
        <w:t>Interventi di potenziamento (nuovi invasi e manutenzione straordinaria di quelli esistenti) al fine di aumentare la capacità di accumulo e stoccaggio della risorsa idrica</w:t>
      </w:r>
      <w:r w:rsidR="009E233D" w:rsidRPr="005E7C0D">
        <w:rPr>
          <w:rFonts w:eastAsiaTheme="minorEastAsia"/>
          <w:kern w:val="24"/>
        </w:rPr>
        <w:t>.</w:t>
      </w:r>
    </w:p>
    <w:p w14:paraId="7BF331FC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 xml:space="preserve">Potabilizzazione - </w:t>
      </w:r>
      <w:r w:rsidRPr="005E7C0D">
        <w:rPr>
          <w:rFonts w:eastAsiaTheme="minorEastAsia"/>
          <w:kern w:val="24"/>
        </w:rPr>
        <w:t>Trattamento delle acque per renderle utilizzabili per usi civili e industriali. Dissalatori per rendere l'acqua marina utilizzabile per fini civili, industriali, agricoli</w:t>
      </w:r>
      <w:r w:rsidR="009E233D" w:rsidRPr="005E7C0D">
        <w:rPr>
          <w:rFonts w:eastAsiaTheme="minorEastAsia"/>
          <w:kern w:val="24"/>
        </w:rPr>
        <w:t>.</w:t>
      </w:r>
    </w:p>
    <w:p w14:paraId="3BD195C5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 xml:space="preserve">Trasporto e Distribuzione - </w:t>
      </w:r>
      <w:r w:rsidRPr="005E7C0D">
        <w:rPr>
          <w:rFonts w:eastAsiaTheme="minorEastAsia"/>
          <w:kern w:val="24"/>
        </w:rPr>
        <w:t xml:space="preserve">Interventi di potenziamento, manutenzione straordinaria e sostituzione </w:t>
      </w:r>
      <w:r w:rsidR="009E233D" w:rsidRPr="005E7C0D">
        <w:rPr>
          <w:rFonts w:eastAsiaTheme="minorEastAsia"/>
          <w:kern w:val="24"/>
        </w:rPr>
        <w:t>de</w:t>
      </w:r>
      <w:r w:rsidRPr="005E7C0D">
        <w:rPr>
          <w:rFonts w:eastAsiaTheme="minorEastAsia"/>
          <w:kern w:val="24"/>
        </w:rPr>
        <w:t xml:space="preserve">gli schemi idrici e </w:t>
      </w:r>
      <w:r w:rsidR="009E233D" w:rsidRPr="005E7C0D">
        <w:rPr>
          <w:rFonts w:eastAsiaTheme="minorEastAsia"/>
          <w:kern w:val="24"/>
        </w:rPr>
        <w:t>de</w:t>
      </w:r>
      <w:r w:rsidRPr="005E7C0D">
        <w:rPr>
          <w:rFonts w:eastAsiaTheme="minorEastAsia"/>
          <w:kern w:val="24"/>
        </w:rPr>
        <w:t>lle reti idriche urbane con l’obiettivo di migliorare il servizio e ridurre le perdite di rete</w:t>
      </w:r>
      <w:r w:rsidR="009E233D" w:rsidRPr="005E7C0D">
        <w:rPr>
          <w:rFonts w:eastAsiaTheme="minorEastAsia"/>
          <w:kern w:val="24"/>
        </w:rPr>
        <w:t>.</w:t>
      </w:r>
    </w:p>
    <w:p w14:paraId="726B7EE7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>Fognatura -</w:t>
      </w:r>
      <w:r w:rsidRPr="005E7C0D">
        <w:rPr>
          <w:rFonts w:eastAsiaTheme="minorEastAsia"/>
          <w:kern w:val="24"/>
        </w:rPr>
        <w:t xml:space="preserve"> Interventi di estensione </w:t>
      </w:r>
      <w:r w:rsidR="00DC6A74" w:rsidRPr="005E7C0D">
        <w:rPr>
          <w:rFonts w:eastAsiaTheme="minorEastAsia"/>
          <w:kern w:val="24"/>
        </w:rPr>
        <w:t xml:space="preserve">o ammodernamento </w:t>
      </w:r>
      <w:r w:rsidRPr="005E7C0D">
        <w:rPr>
          <w:rFonts w:eastAsiaTheme="minorEastAsia"/>
          <w:kern w:val="24"/>
        </w:rPr>
        <w:t>delle reti fognanti</w:t>
      </w:r>
      <w:r w:rsidR="009E233D" w:rsidRPr="005E7C0D">
        <w:rPr>
          <w:rFonts w:eastAsiaTheme="minorEastAsia"/>
          <w:kern w:val="24"/>
        </w:rPr>
        <w:t>.</w:t>
      </w:r>
    </w:p>
    <w:p w14:paraId="20F06A0B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 xml:space="preserve">Depurazione </w:t>
      </w:r>
      <w:r w:rsidR="009E233D" w:rsidRPr="005E7C0D">
        <w:rPr>
          <w:rFonts w:eastAsiaTheme="minorEastAsia"/>
          <w:b/>
          <w:bCs/>
          <w:kern w:val="24"/>
        </w:rPr>
        <w:t>-</w:t>
      </w:r>
      <w:r w:rsidRPr="005E7C0D">
        <w:rPr>
          <w:rFonts w:eastAsiaTheme="minorEastAsia"/>
          <w:b/>
          <w:bCs/>
          <w:kern w:val="24"/>
        </w:rPr>
        <w:t xml:space="preserve"> </w:t>
      </w:r>
      <w:r w:rsidR="006F270B" w:rsidRPr="005E7C0D">
        <w:rPr>
          <w:rFonts w:eastAsiaTheme="minorEastAsia"/>
          <w:bCs/>
          <w:kern w:val="24"/>
        </w:rPr>
        <w:t>Costruzione e potenziamento di</w:t>
      </w:r>
      <w:r w:rsidR="006F270B" w:rsidRPr="005E7C0D">
        <w:rPr>
          <w:rFonts w:eastAsiaTheme="minorEastAsia"/>
          <w:b/>
          <w:bCs/>
          <w:kern w:val="24"/>
        </w:rPr>
        <w:t xml:space="preserve"> </w:t>
      </w:r>
      <w:r w:rsidR="006F270B" w:rsidRPr="005E7C0D">
        <w:rPr>
          <w:rFonts w:eastAsiaTheme="minorEastAsia"/>
          <w:kern w:val="24"/>
        </w:rPr>
        <w:t>i</w:t>
      </w:r>
      <w:r w:rsidRPr="005E7C0D">
        <w:rPr>
          <w:rFonts w:eastAsiaTheme="minorEastAsia"/>
          <w:kern w:val="24"/>
        </w:rPr>
        <w:t>mpianti di trattamento dei reflui</w:t>
      </w:r>
      <w:r w:rsidR="009E233D" w:rsidRPr="005E7C0D">
        <w:rPr>
          <w:rFonts w:eastAsiaTheme="minorEastAsia"/>
          <w:kern w:val="24"/>
        </w:rPr>
        <w:t>.</w:t>
      </w:r>
    </w:p>
    <w:p w14:paraId="4220E0DE" w14:textId="77777777" w:rsidR="00ED65A4" w:rsidRPr="005E7C0D" w:rsidRDefault="00ED65A4" w:rsidP="00ED65A4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5E7C0D">
        <w:rPr>
          <w:rFonts w:eastAsiaTheme="minorEastAsia"/>
          <w:b/>
          <w:bCs/>
          <w:kern w:val="24"/>
        </w:rPr>
        <w:t xml:space="preserve">Riutilizzo e restituzione all'ambiente - </w:t>
      </w:r>
      <w:r w:rsidR="009E233D" w:rsidRPr="005E7C0D">
        <w:rPr>
          <w:rFonts w:eastAsiaTheme="minorEastAsia"/>
          <w:kern w:val="24"/>
        </w:rPr>
        <w:t>I</w:t>
      </w:r>
      <w:r w:rsidRPr="005E7C0D">
        <w:rPr>
          <w:rFonts w:eastAsiaTheme="minorEastAsia"/>
          <w:kern w:val="24"/>
        </w:rPr>
        <w:t xml:space="preserve">nterventi per un corretto uso, </w:t>
      </w:r>
      <w:r w:rsidR="00DC6A74" w:rsidRPr="005E7C0D">
        <w:rPr>
          <w:rFonts w:eastAsiaTheme="minorEastAsia"/>
          <w:kern w:val="24"/>
        </w:rPr>
        <w:t xml:space="preserve">improntati al risparmio, </w:t>
      </w:r>
      <w:r w:rsidRPr="005E7C0D">
        <w:rPr>
          <w:rFonts w:eastAsiaTheme="minorEastAsia"/>
          <w:kern w:val="24"/>
        </w:rPr>
        <w:t>riutilizzo, gestione e restituzione al territorio e alla collettività delle acque</w:t>
      </w:r>
      <w:r w:rsidR="009E233D" w:rsidRPr="005E7C0D">
        <w:rPr>
          <w:rFonts w:eastAsiaTheme="minorEastAsia"/>
          <w:kern w:val="24"/>
        </w:rPr>
        <w:t>.</w:t>
      </w:r>
    </w:p>
    <w:p w14:paraId="025F7952" w14:textId="77777777" w:rsidR="00D1367C" w:rsidRPr="00D1367C" w:rsidRDefault="00ED65A4" w:rsidP="005E7C0D">
      <w:pPr>
        <w:pStyle w:val="Paragrafoelenco"/>
        <w:numPr>
          <w:ilvl w:val="1"/>
          <w:numId w:val="9"/>
        </w:numPr>
        <w:tabs>
          <w:tab w:val="clear" w:pos="1440"/>
        </w:tabs>
        <w:spacing w:line="264" w:lineRule="auto"/>
        <w:ind w:left="567" w:hanging="567"/>
        <w:jc w:val="both"/>
      </w:pPr>
      <w:r w:rsidRPr="00D1367C">
        <w:rPr>
          <w:rFonts w:eastAsiaTheme="minorEastAsia"/>
          <w:b/>
          <w:bCs/>
          <w:kern w:val="24"/>
        </w:rPr>
        <w:t xml:space="preserve">Monitoraggio </w:t>
      </w:r>
      <w:r w:rsidR="009E233D" w:rsidRPr="00D1367C">
        <w:rPr>
          <w:rFonts w:eastAsiaTheme="minorEastAsia"/>
          <w:b/>
          <w:bCs/>
          <w:kern w:val="24"/>
        </w:rPr>
        <w:t>-</w:t>
      </w:r>
      <w:r w:rsidRPr="00D1367C">
        <w:rPr>
          <w:rFonts w:eastAsiaTheme="minorEastAsia"/>
          <w:kern w:val="24"/>
        </w:rPr>
        <w:t xml:space="preserve"> Implementazione, anche attraverso l’acquisto di apposita strumentazione, di </w:t>
      </w:r>
      <w:r w:rsidR="00DC6A74" w:rsidRPr="00D1367C">
        <w:rPr>
          <w:rFonts w:eastAsiaTheme="minorEastAsia"/>
          <w:kern w:val="24"/>
        </w:rPr>
        <w:t xml:space="preserve">reti </w:t>
      </w:r>
      <w:r w:rsidRPr="00D1367C">
        <w:rPr>
          <w:rFonts w:eastAsiaTheme="minorEastAsia"/>
          <w:kern w:val="24"/>
        </w:rPr>
        <w:t xml:space="preserve">di monitoraggio </w:t>
      </w:r>
      <w:r w:rsidR="00DC6A74" w:rsidRPr="00D1367C">
        <w:rPr>
          <w:rFonts w:eastAsiaTheme="minorEastAsia"/>
          <w:kern w:val="24"/>
        </w:rPr>
        <w:t xml:space="preserve">delle infrastrutture idriche e </w:t>
      </w:r>
      <w:r w:rsidRPr="00D1367C">
        <w:rPr>
          <w:rFonts w:eastAsiaTheme="minorEastAsia"/>
          <w:kern w:val="24"/>
        </w:rPr>
        <w:t xml:space="preserve">degli acquiferi e delle sorgenti, al fine di incrementare la conoscenza del sistema idrogeologico e definire sistemi di controllo ed </w:t>
      </w:r>
      <w:proofErr w:type="spellStart"/>
      <w:r w:rsidRPr="00D1367C">
        <w:rPr>
          <w:rFonts w:eastAsiaTheme="minorEastAsia"/>
          <w:i/>
          <w:iCs/>
          <w:kern w:val="24"/>
        </w:rPr>
        <w:t>early</w:t>
      </w:r>
      <w:proofErr w:type="spellEnd"/>
      <w:r w:rsidRPr="00D1367C">
        <w:rPr>
          <w:rFonts w:eastAsiaTheme="minorEastAsia"/>
          <w:i/>
          <w:iCs/>
          <w:kern w:val="24"/>
        </w:rPr>
        <w:t xml:space="preserve"> </w:t>
      </w:r>
      <w:proofErr w:type="spellStart"/>
      <w:r w:rsidRPr="00D1367C">
        <w:rPr>
          <w:rFonts w:eastAsiaTheme="minorEastAsia"/>
          <w:i/>
          <w:iCs/>
          <w:kern w:val="24"/>
        </w:rPr>
        <w:t>warning</w:t>
      </w:r>
      <w:proofErr w:type="spellEnd"/>
      <w:r w:rsidRPr="00D1367C">
        <w:rPr>
          <w:rFonts w:eastAsiaTheme="minorEastAsia"/>
          <w:kern w:val="24"/>
        </w:rPr>
        <w:t xml:space="preserve"> dello stato quantitativo dei corpi idrici; “interventi attivi” di controllo e monitoraggio costante dei deflussi minimi vitali,</w:t>
      </w:r>
      <w:r w:rsidRPr="00D1367C">
        <w:t xml:space="preserve"> </w:t>
      </w:r>
      <w:r w:rsidRPr="00D1367C">
        <w:rPr>
          <w:rFonts w:eastAsiaTheme="minorEastAsia"/>
          <w:kern w:val="24"/>
        </w:rPr>
        <w:t>anche attraverso l’impiego di piattaforme cloud GIS-centriche.</w:t>
      </w:r>
    </w:p>
    <w:p w14:paraId="23BDFC02" w14:textId="77777777" w:rsidR="00D1367C" w:rsidRPr="00D1367C" w:rsidRDefault="00D1367C" w:rsidP="005E7C0D">
      <w:pPr>
        <w:spacing w:line="264" w:lineRule="auto"/>
        <w:jc w:val="both"/>
      </w:pPr>
    </w:p>
    <w:p w14:paraId="4A799B91" w14:textId="77777777" w:rsidR="00ED65A4" w:rsidRPr="005E7C0D" w:rsidRDefault="00ED65A4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>Domanda: Nella scheda sono elencati i diversi ambiti di intervento ammissibili. È possibile presentare un solo intervento integrato che comprenda più ambiti?</w:t>
      </w:r>
    </w:p>
    <w:p w14:paraId="3651D50E" w14:textId="77777777" w:rsidR="00D1367C" w:rsidRPr="005E7C0D" w:rsidRDefault="00ED65A4" w:rsidP="00ED65A4">
      <w:pPr>
        <w:jc w:val="both"/>
        <w:rPr>
          <w:rFonts w:ascii="Times New Roman" w:hAnsi="Times New Roman" w:cs="Times New Roman"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>Risposta:</w:t>
      </w:r>
      <w:r w:rsidRPr="005E7C0D">
        <w:rPr>
          <w:rFonts w:ascii="Times New Roman" w:hAnsi="Times New Roman" w:cs="Times New Roman"/>
          <w:sz w:val="24"/>
          <w:szCs w:val="24"/>
        </w:rPr>
        <w:t xml:space="preserve"> Sì, qualora si sia in presenza di interventi funzionalmente connessi.</w:t>
      </w:r>
    </w:p>
    <w:p w14:paraId="7C674995" w14:textId="77777777" w:rsidR="00ED65A4" w:rsidRPr="005E7C0D" w:rsidRDefault="00ED65A4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lastRenderedPageBreak/>
        <w:t>Domanda: È prevista la possibilità di inviare altri elaborati oltre alla scheda informatizzata per la rilevazione degli interventi (format scheda progetto) come rilievi, progettazioni preliminari, definitive e/o esecutive, qualora disponibili?</w:t>
      </w:r>
    </w:p>
    <w:p w14:paraId="217ECE9E" w14:textId="77777777" w:rsidR="00ED65A4" w:rsidRPr="005E7C0D" w:rsidRDefault="00ED65A4" w:rsidP="00ED65A4">
      <w:pPr>
        <w:jc w:val="both"/>
        <w:rPr>
          <w:rFonts w:ascii="Times New Roman" w:hAnsi="Times New Roman" w:cs="Times New Roman"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="00FB5ACD" w:rsidRPr="005E7C0D">
        <w:rPr>
          <w:rFonts w:ascii="Times New Roman" w:hAnsi="Times New Roman" w:cs="Times New Roman"/>
          <w:sz w:val="24"/>
          <w:szCs w:val="24"/>
        </w:rPr>
        <w:t>L’istruttoria si basa sulla qualità delle informazioni contenute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 nella </w:t>
      </w:r>
      <w:r w:rsidR="00FB5ACD" w:rsidRPr="005E7C0D">
        <w:rPr>
          <w:rFonts w:ascii="Times New Roman" w:hAnsi="Times New Roman" w:cs="Times New Roman"/>
          <w:sz w:val="24"/>
          <w:szCs w:val="24"/>
        </w:rPr>
        <w:t>scheda di rilevazione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 che va </w:t>
      </w:r>
      <w:r w:rsidRPr="005E7C0D">
        <w:rPr>
          <w:rFonts w:ascii="Times New Roman" w:hAnsi="Times New Roman" w:cs="Times New Roman"/>
          <w:sz w:val="24"/>
          <w:szCs w:val="24"/>
        </w:rPr>
        <w:t xml:space="preserve">compilata in ogni sua parte in modo puntuale ed esaustivo. </w:t>
      </w:r>
      <w:proofErr w:type="gramStart"/>
      <w:r w:rsidRPr="005E7C0D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Pr="005E7C0D">
        <w:rPr>
          <w:rFonts w:ascii="Times New Roman" w:hAnsi="Times New Roman" w:cs="Times New Roman"/>
          <w:sz w:val="24"/>
          <w:szCs w:val="24"/>
        </w:rPr>
        <w:t xml:space="preserve"> comunque prevista </w:t>
      </w:r>
      <w:r w:rsidR="00FB5ACD" w:rsidRPr="005E7C0D">
        <w:rPr>
          <w:rFonts w:ascii="Times New Roman" w:hAnsi="Times New Roman" w:cs="Times New Roman"/>
          <w:sz w:val="24"/>
          <w:szCs w:val="24"/>
        </w:rPr>
        <w:t xml:space="preserve">nella scheda </w:t>
      </w:r>
      <w:r w:rsidRPr="005E7C0D">
        <w:rPr>
          <w:rFonts w:ascii="Times New Roman" w:hAnsi="Times New Roman" w:cs="Times New Roman"/>
          <w:sz w:val="24"/>
          <w:szCs w:val="24"/>
        </w:rPr>
        <w:t>la possibilità di inserire dettagli sintetici relativi alla proposta progettuale nella sezione 4 (</w:t>
      </w:r>
      <w:r w:rsidRPr="005E7C0D">
        <w:rPr>
          <w:rFonts w:ascii="Times New Roman" w:hAnsi="Times New Roman" w:cs="Times New Roman"/>
          <w:i/>
          <w:sz w:val="24"/>
          <w:szCs w:val="24"/>
        </w:rPr>
        <w:t>Ulteriori elementi segnalati</w:t>
      </w:r>
      <w:r w:rsidRPr="005E7C0D">
        <w:rPr>
          <w:rFonts w:ascii="Times New Roman" w:hAnsi="Times New Roman" w:cs="Times New Roman"/>
          <w:sz w:val="24"/>
          <w:szCs w:val="24"/>
        </w:rPr>
        <w:t>)</w:t>
      </w:r>
      <w:r w:rsidR="00D1367C">
        <w:rPr>
          <w:rFonts w:ascii="Times New Roman" w:hAnsi="Times New Roman" w:cs="Times New Roman"/>
          <w:sz w:val="24"/>
          <w:szCs w:val="24"/>
        </w:rPr>
        <w:t>,</w:t>
      </w:r>
      <w:r w:rsidRPr="005E7C0D">
        <w:rPr>
          <w:rFonts w:ascii="Times New Roman" w:hAnsi="Times New Roman" w:cs="Times New Roman"/>
          <w:sz w:val="24"/>
          <w:szCs w:val="24"/>
        </w:rPr>
        <w:t xml:space="preserve"> punto 4.1, con un massimo di 2</w:t>
      </w:r>
      <w:r w:rsidR="00D1367C">
        <w:rPr>
          <w:rFonts w:ascii="Times New Roman" w:hAnsi="Times New Roman" w:cs="Times New Roman"/>
          <w:sz w:val="24"/>
          <w:szCs w:val="24"/>
        </w:rPr>
        <w:t>.</w:t>
      </w:r>
      <w:r w:rsidRPr="005E7C0D">
        <w:rPr>
          <w:rFonts w:ascii="Times New Roman" w:hAnsi="Times New Roman" w:cs="Times New Roman"/>
          <w:sz w:val="24"/>
          <w:szCs w:val="24"/>
        </w:rPr>
        <w:t>500 caratteri.</w:t>
      </w:r>
    </w:p>
    <w:p w14:paraId="18C9560C" w14:textId="77777777" w:rsidR="00782B3E" w:rsidRPr="005E7C0D" w:rsidRDefault="00073032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 xml:space="preserve">Possono essere presentate più proposte progettuali relative allo stesso ambito di intervento? </w:t>
      </w:r>
    </w:p>
    <w:p w14:paraId="7EF6CB3E" w14:textId="77777777" w:rsidR="009545B8" w:rsidRPr="00D1367C" w:rsidRDefault="00073032" w:rsidP="005E7C0D">
      <w:pPr>
        <w:jc w:val="both"/>
        <w:rPr>
          <w:b/>
          <w:i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="009E233D" w:rsidRPr="005E7C0D">
        <w:rPr>
          <w:rFonts w:ascii="Times New Roman" w:hAnsi="Times New Roman" w:cs="Times New Roman"/>
          <w:bCs/>
          <w:sz w:val="24"/>
          <w:szCs w:val="24"/>
        </w:rPr>
        <w:t>Non è previsto</w:t>
      </w:r>
      <w:r w:rsidR="009E233D"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un numero massimo di interventi da poter candidare nell’ambito del CIS </w:t>
      </w:r>
      <w:r w:rsidR="00D1367C">
        <w:rPr>
          <w:rFonts w:ascii="Times New Roman" w:hAnsi="Times New Roman" w:cs="Times New Roman"/>
          <w:bCs/>
          <w:sz w:val="24"/>
          <w:szCs w:val="24"/>
        </w:rPr>
        <w:t>“</w:t>
      </w:r>
      <w:r w:rsidRPr="005E7C0D">
        <w:rPr>
          <w:rFonts w:ascii="Times New Roman" w:hAnsi="Times New Roman" w:cs="Times New Roman"/>
          <w:bCs/>
          <w:sz w:val="24"/>
          <w:szCs w:val="24"/>
        </w:rPr>
        <w:t>Acqua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 bene comune</w:t>
      </w:r>
      <w:r w:rsidR="00D1367C">
        <w:rPr>
          <w:rFonts w:ascii="Times New Roman" w:hAnsi="Times New Roman" w:cs="Times New Roman"/>
          <w:bCs/>
          <w:sz w:val="24"/>
          <w:szCs w:val="24"/>
        </w:rPr>
        <w:t>”</w:t>
      </w:r>
      <w:r w:rsidRPr="005E7C0D">
        <w:rPr>
          <w:rFonts w:ascii="Times New Roman" w:hAnsi="Times New Roman" w:cs="Times New Roman"/>
          <w:bCs/>
          <w:sz w:val="24"/>
          <w:szCs w:val="24"/>
        </w:rPr>
        <w:t>. Nel caso in cui si presenti più di una candidatura, ciascun intervento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 - inteso come </w:t>
      </w:r>
      <w:r w:rsidRPr="005E7C0D">
        <w:rPr>
          <w:rFonts w:ascii="Times New Roman" w:hAnsi="Times New Roman" w:cs="Times New Roman"/>
          <w:bCs/>
          <w:sz w:val="24"/>
          <w:szCs w:val="24"/>
        </w:rPr>
        <w:t>progetto unitario o lotto funzionale autonomo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  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verrà presentato mediante l’apposita scheda. Al momento dell’assenso al suo finanziamento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dovrà essere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>genera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to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un 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singolo 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CUP. </w:t>
      </w:r>
    </w:p>
    <w:p w14:paraId="5CE01543" w14:textId="77777777" w:rsidR="00276089" w:rsidRPr="00A22D3B" w:rsidRDefault="00276089" w:rsidP="00276089">
      <w:pPr>
        <w:pStyle w:val="Paragrafoelenco"/>
        <w:numPr>
          <w:ilvl w:val="0"/>
          <w:numId w:val="1"/>
        </w:numPr>
        <w:jc w:val="both"/>
        <w:rPr>
          <w:b/>
          <w:bCs/>
        </w:rPr>
      </w:pPr>
      <w:r w:rsidRPr="00A22D3B">
        <w:rPr>
          <w:b/>
          <w:bCs/>
        </w:rPr>
        <w:t>Nel caso in cui intervenga un aggiornamento dei prezzi su un progetto esecutivo, verificato e validato sulla base del prezziario vigente al momento della sua presentazione e ritenuto ammissibile, è possibile aggiornare l’importo in coerenza con il nuovo prezziario?</w:t>
      </w:r>
    </w:p>
    <w:p w14:paraId="1B9CA267" w14:textId="77777777" w:rsidR="00276089" w:rsidRPr="005061DA" w:rsidRDefault="00276089" w:rsidP="00276089">
      <w:pPr>
        <w:pStyle w:val="Paragrafoelenco"/>
        <w:ind w:left="360"/>
        <w:jc w:val="both"/>
        <w:rPr>
          <w:b/>
          <w:bCs/>
        </w:rPr>
      </w:pPr>
    </w:p>
    <w:p w14:paraId="630F14F2" w14:textId="77777777" w:rsidR="00276089" w:rsidRPr="00276089" w:rsidRDefault="00276089" w:rsidP="0027608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D3B">
        <w:rPr>
          <w:rFonts w:ascii="Times New Roman" w:hAnsi="Times New Roman" w:cs="Times New Roman"/>
          <w:b/>
          <w:bCs/>
          <w:sz w:val="24"/>
          <w:szCs w:val="24"/>
        </w:rPr>
        <w:t>Risposta</w:t>
      </w:r>
      <w:r w:rsidRPr="00A22D3B">
        <w:rPr>
          <w:rFonts w:ascii="Times New Roman" w:hAnsi="Times New Roman" w:cs="Times New Roman"/>
          <w:bCs/>
          <w:sz w:val="24"/>
          <w:szCs w:val="24"/>
        </w:rPr>
        <w:t xml:space="preserve">: È possibile presentare la scheda del progetto esecutivo recante l'importo validato e, ove il progetto fosse ritenuto ammissibile, aggiornarlo successivamente in coerenza con il nuovo prezziario. </w:t>
      </w:r>
      <w:proofErr w:type="gramStart"/>
      <w:r w:rsidRPr="00A22D3B">
        <w:rPr>
          <w:rFonts w:ascii="Times New Roman" w:hAnsi="Times New Roman" w:cs="Times New Roman"/>
          <w:bCs/>
          <w:sz w:val="24"/>
          <w:szCs w:val="24"/>
        </w:rPr>
        <w:t>Qualora  gli</w:t>
      </w:r>
      <w:proofErr w:type="gramEnd"/>
      <w:r w:rsidRPr="00A22D3B">
        <w:rPr>
          <w:rFonts w:ascii="Times New Roman" w:hAnsi="Times New Roman" w:cs="Times New Roman"/>
          <w:bCs/>
          <w:sz w:val="24"/>
          <w:szCs w:val="24"/>
        </w:rPr>
        <w:t xml:space="preserve"> eventuali maggiori importi, scaturenti dall’aggiornamento dei prezzi e comunicati successivamente al termine della presentazione delle proposte, non trovino copertura all’interno del CIS, il Soggetto Beneficiario sarà tenuto a far fronte alla quota di importo eccedente, ricorrendo a ulteriori (diverse) fonti di finanziamento e/o a risorse proprie.</w:t>
      </w:r>
    </w:p>
    <w:p w14:paraId="54A36559" w14:textId="77777777" w:rsidR="000F4E2F" w:rsidRPr="005E7C0D" w:rsidRDefault="000F4E2F" w:rsidP="005E7C0D">
      <w:pPr>
        <w:pStyle w:val="Paragrafoelenco"/>
        <w:numPr>
          <w:ilvl w:val="0"/>
          <w:numId w:val="1"/>
        </w:numPr>
        <w:spacing w:before="360" w:after="240"/>
        <w:ind w:left="425" w:hanging="425"/>
        <w:jc w:val="both"/>
        <w:rPr>
          <w:b/>
          <w:bCs/>
        </w:rPr>
      </w:pPr>
      <w:r w:rsidRPr="005E7C0D">
        <w:rPr>
          <w:b/>
          <w:bCs/>
        </w:rPr>
        <w:t>Con quali interventi del PN</w:t>
      </w:r>
      <w:r w:rsidR="009545B8" w:rsidRPr="005E7C0D">
        <w:rPr>
          <w:b/>
          <w:bCs/>
        </w:rPr>
        <w:t>R</w:t>
      </w:r>
      <w:r w:rsidRPr="005E7C0D">
        <w:rPr>
          <w:b/>
          <w:bCs/>
        </w:rPr>
        <w:t>R il CIS può operare in piena complementarietà, e a supporto dell’azione del Piano?</w:t>
      </w:r>
    </w:p>
    <w:p w14:paraId="1B73F494" w14:textId="77777777" w:rsidR="00075F20" w:rsidRPr="005E7C0D" w:rsidRDefault="00075F20" w:rsidP="00075F2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7C0D">
        <w:rPr>
          <w:rFonts w:ascii="Times New Roman" w:hAnsi="Times New Roman" w:cs="Times New Roman"/>
          <w:b/>
          <w:bCs/>
          <w:sz w:val="24"/>
          <w:szCs w:val="24"/>
        </w:rPr>
        <w:t xml:space="preserve">Risposta: </w:t>
      </w:r>
      <w:r w:rsidRPr="005E7C0D">
        <w:rPr>
          <w:rFonts w:ascii="Times New Roman" w:hAnsi="Times New Roman" w:cs="Times New Roman"/>
          <w:bCs/>
          <w:sz w:val="24"/>
          <w:szCs w:val="24"/>
        </w:rPr>
        <w:t>Il ciclo dell’acqua è al centro di rilevantissimi interventi del PNRR. Il CIS intende oper</w:t>
      </w:r>
      <w:r w:rsidR="00E1285C" w:rsidRPr="005E7C0D">
        <w:rPr>
          <w:rFonts w:ascii="Times New Roman" w:hAnsi="Times New Roman" w:cs="Times New Roman"/>
          <w:bCs/>
          <w:sz w:val="24"/>
          <w:szCs w:val="24"/>
        </w:rPr>
        <w:t>are in piena complementarietà e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>sinergi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>a</w:t>
      </w:r>
      <w:r w:rsidR="00FB5ACD" w:rsidRPr="005E7C0D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Pr="005E7C0D">
        <w:rPr>
          <w:rFonts w:ascii="Times New Roman" w:hAnsi="Times New Roman" w:cs="Times New Roman"/>
          <w:bCs/>
          <w:sz w:val="24"/>
          <w:szCs w:val="24"/>
        </w:rPr>
        <w:t xml:space="preserve">ll’azione del Piano. </w:t>
      </w:r>
      <w:r w:rsidR="00CE0AB0" w:rsidRPr="005E7C0D">
        <w:rPr>
          <w:rFonts w:ascii="Times New Roman" w:hAnsi="Times New Roman" w:cs="Times New Roman"/>
          <w:bCs/>
          <w:sz w:val="24"/>
          <w:szCs w:val="24"/>
        </w:rPr>
        <w:t xml:space="preserve">Gli investimenti 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a valere sul PNRR </w:t>
      </w:r>
      <w:r w:rsidR="00CE0AB0" w:rsidRPr="005E7C0D">
        <w:rPr>
          <w:rFonts w:ascii="Times New Roman" w:hAnsi="Times New Roman" w:cs="Times New Roman"/>
          <w:bCs/>
          <w:sz w:val="24"/>
          <w:szCs w:val="24"/>
        </w:rPr>
        <w:t>attivi al 21</w:t>
      </w:r>
      <w:r w:rsidR="009545B8" w:rsidRPr="005E7C0D">
        <w:rPr>
          <w:rFonts w:ascii="Times New Roman" w:hAnsi="Times New Roman" w:cs="Times New Roman"/>
          <w:bCs/>
          <w:sz w:val="24"/>
          <w:szCs w:val="24"/>
        </w:rPr>
        <w:t xml:space="preserve"> luglio </w:t>
      </w:r>
      <w:proofErr w:type="gramStart"/>
      <w:r w:rsidR="009545B8" w:rsidRPr="005E7C0D">
        <w:rPr>
          <w:rFonts w:ascii="Times New Roman" w:hAnsi="Times New Roman" w:cs="Times New Roman"/>
          <w:bCs/>
          <w:sz w:val="24"/>
          <w:szCs w:val="24"/>
        </w:rPr>
        <w:t>20</w:t>
      </w:r>
      <w:r w:rsidR="00CE0AB0" w:rsidRPr="005E7C0D">
        <w:rPr>
          <w:rFonts w:ascii="Times New Roman" w:hAnsi="Times New Roman" w:cs="Times New Roman"/>
          <w:bCs/>
          <w:sz w:val="24"/>
          <w:szCs w:val="24"/>
        </w:rPr>
        <w:t>22</w:t>
      </w:r>
      <w:r w:rsidR="00782B3E" w:rsidRPr="005E7C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AB0" w:rsidRPr="005E7C0D">
        <w:rPr>
          <w:rFonts w:ascii="Times New Roman" w:hAnsi="Times New Roman" w:cs="Times New Roman"/>
          <w:bCs/>
          <w:sz w:val="24"/>
          <w:szCs w:val="24"/>
        </w:rPr>
        <w:t xml:space="preserve"> sono</w:t>
      </w:r>
      <w:proofErr w:type="gramEnd"/>
      <w:r w:rsidR="00CE0AB0" w:rsidRPr="005E7C0D">
        <w:rPr>
          <w:rFonts w:ascii="Times New Roman" w:hAnsi="Times New Roman" w:cs="Times New Roman"/>
          <w:bCs/>
          <w:sz w:val="24"/>
          <w:szCs w:val="24"/>
        </w:rPr>
        <w:t xml:space="preserve"> riportati nella tabella che segue</w:t>
      </w:r>
      <w:r w:rsidR="007457C4" w:rsidRPr="005E7C0D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4A7AA529" w14:textId="77777777" w:rsidR="006C7512" w:rsidRPr="005E7C0D" w:rsidRDefault="006C7512" w:rsidP="001807A1">
      <w:pPr>
        <w:pStyle w:val="Paragrafoelenco"/>
        <w:jc w:val="both"/>
        <w:rPr>
          <w:b/>
          <w:i/>
        </w:rPr>
      </w:pPr>
    </w:p>
    <w:p w14:paraId="5E1EF61A" w14:textId="77777777" w:rsidR="001807A1" w:rsidRPr="005E7C0D" w:rsidRDefault="001807A1" w:rsidP="005E7C0D">
      <w:pPr>
        <w:pStyle w:val="Paragrafoelenco"/>
        <w:ind w:left="-426"/>
        <w:jc w:val="both"/>
        <w:rPr>
          <w:b/>
          <w:i/>
        </w:rPr>
      </w:pPr>
      <w:r w:rsidRPr="005E7C0D">
        <w:rPr>
          <w:b/>
          <w:i/>
          <w:noProof/>
          <w:bdr w:val="single" w:sz="4" w:space="0" w:color="auto"/>
        </w:rPr>
        <w:lastRenderedPageBreak/>
        <w:drawing>
          <wp:inline distT="0" distB="0" distL="0" distR="0" wp14:anchorId="3C2CBBAA" wp14:editId="1B2840F3">
            <wp:extent cx="6819900" cy="2714419"/>
            <wp:effectExtent l="0" t="0" r="0" b="0"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399" cy="271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4D425F9" w14:textId="77777777" w:rsidR="001807A1" w:rsidRPr="005E7C0D" w:rsidRDefault="001807A1" w:rsidP="001807A1">
      <w:pPr>
        <w:pStyle w:val="Paragrafoelenco"/>
        <w:jc w:val="both"/>
        <w:rPr>
          <w:b/>
          <w:i/>
        </w:rPr>
      </w:pPr>
    </w:p>
    <w:p w14:paraId="39C1BC31" w14:textId="77777777" w:rsidR="009545B8" w:rsidRPr="005E7C0D" w:rsidRDefault="00CE0AB0" w:rsidP="008B5999">
      <w:pPr>
        <w:jc w:val="both"/>
        <w:rPr>
          <w:rFonts w:ascii="Times New Roman" w:hAnsi="Times New Roman" w:cs="Times New Roman"/>
        </w:rPr>
      </w:pPr>
      <w:r w:rsidRPr="005E7C0D">
        <w:rPr>
          <w:rFonts w:ascii="Times New Roman" w:hAnsi="Times New Roman" w:cs="Times New Roman"/>
        </w:rPr>
        <w:t>FONTE: Rielaborazioni da</w:t>
      </w:r>
      <w:r w:rsidR="009545B8" w:rsidRPr="005E7C0D">
        <w:rPr>
          <w:rFonts w:ascii="Times New Roman" w:hAnsi="Times New Roman" w:cs="Times New Roman"/>
        </w:rPr>
        <w:t xml:space="preserve">: </w:t>
      </w:r>
      <w:hyperlink r:id="rId9" w:history="1">
        <w:r w:rsidR="009545B8" w:rsidRPr="005E7C0D">
          <w:rPr>
            <w:rStyle w:val="Collegamentoipertestuale"/>
            <w:rFonts w:ascii="Times New Roman" w:hAnsi="Times New Roman" w:cs="Times New Roman"/>
          </w:rPr>
          <w:t>https://italiadomani.gov.it</w:t>
        </w:r>
      </w:hyperlink>
    </w:p>
    <w:p w14:paraId="585D6B82" w14:textId="77777777" w:rsidR="00276089" w:rsidRDefault="00276089" w:rsidP="00276089">
      <w:pPr>
        <w:rPr>
          <w:rFonts w:ascii="Candara" w:hAnsi="Candara"/>
          <w:color w:val="1F497D"/>
        </w:rPr>
      </w:pPr>
    </w:p>
    <w:p w14:paraId="12F22D8D" w14:textId="77777777" w:rsidR="009F7A33" w:rsidRPr="005E7C0D" w:rsidRDefault="009F7A33">
      <w:pPr>
        <w:rPr>
          <w:rFonts w:ascii="Times New Roman" w:hAnsi="Times New Roman" w:cs="Times New Roman"/>
        </w:rPr>
      </w:pPr>
    </w:p>
    <w:sectPr w:rsidR="009F7A33" w:rsidRPr="005E7C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stellone-colore" style="width:42.45pt;height:50.5pt;visibility:visible;mso-wrap-style:square" o:bullet="t">
        <v:imagedata r:id="rId1" o:title="stellone-colore"/>
      </v:shape>
    </w:pict>
  </w:numPicBullet>
  <w:abstractNum w:abstractNumId="0" w15:restartNumberingAfterBreak="0">
    <w:nsid w:val="1A0D2DBC"/>
    <w:multiLevelType w:val="hybridMultilevel"/>
    <w:tmpl w:val="7A22E454"/>
    <w:lvl w:ilvl="0" w:tplc="05C22D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220C6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4A70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00C7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9A73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231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222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7224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20D7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30142"/>
    <w:multiLevelType w:val="hybridMultilevel"/>
    <w:tmpl w:val="EC367CA4"/>
    <w:lvl w:ilvl="0" w:tplc="1B54BE28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46C0C4C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DEA4808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CBA0C86" w:tentative="1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B54F516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18DE550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C883260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A9296C8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EA0C7E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44605767"/>
    <w:multiLevelType w:val="hybridMultilevel"/>
    <w:tmpl w:val="C07E12E4"/>
    <w:lvl w:ilvl="0" w:tplc="2CCE47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525A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2C9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7C58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2E5E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8E0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0A96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D4A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12E6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12ED1"/>
    <w:multiLevelType w:val="hybridMultilevel"/>
    <w:tmpl w:val="2930A2EA"/>
    <w:lvl w:ilvl="0" w:tplc="433A8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40AD8"/>
    <w:multiLevelType w:val="hybridMultilevel"/>
    <w:tmpl w:val="8A2A16A6"/>
    <w:lvl w:ilvl="0" w:tplc="3EEC38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904F40">
      <w:start w:val="67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F251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039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F09D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E28D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F258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38A2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525F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227EF9"/>
    <w:multiLevelType w:val="hybridMultilevel"/>
    <w:tmpl w:val="2930A2EA"/>
    <w:lvl w:ilvl="0" w:tplc="433A8B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261C4"/>
    <w:multiLevelType w:val="hybridMultilevel"/>
    <w:tmpl w:val="DE8657DA"/>
    <w:lvl w:ilvl="0" w:tplc="AA32D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D87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7A5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1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0E0B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DEEE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04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FC6B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0C2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E1E0082"/>
    <w:multiLevelType w:val="hybridMultilevel"/>
    <w:tmpl w:val="2930A2EA"/>
    <w:lvl w:ilvl="0" w:tplc="433A8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6C7A5D"/>
    <w:multiLevelType w:val="hybridMultilevel"/>
    <w:tmpl w:val="29005F00"/>
    <w:lvl w:ilvl="0" w:tplc="EB26AF5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2081490">
      <w:start w:val="643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644DE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FB49A6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EECE6E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16E86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268F79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834FB1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F27FA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335D7D"/>
    <w:multiLevelType w:val="hybridMultilevel"/>
    <w:tmpl w:val="77EC34CC"/>
    <w:lvl w:ilvl="0" w:tplc="E278AF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2EA8796">
      <w:start w:val="69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5EEEE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CA8B24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58CB0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7B0AE1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80CCCD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6C0A17E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909E694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1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2F"/>
    <w:rsid w:val="000313DC"/>
    <w:rsid w:val="00073032"/>
    <w:rsid w:val="00075F20"/>
    <w:rsid w:val="000D4AA5"/>
    <w:rsid w:val="000F4E2F"/>
    <w:rsid w:val="001807A1"/>
    <w:rsid w:val="00192196"/>
    <w:rsid w:val="001F4D72"/>
    <w:rsid w:val="002214A1"/>
    <w:rsid w:val="00235483"/>
    <w:rsid w:val="00276089"/>
    <w:rsid w:val="002D4399"/>
    <w:rsid w:val="002D4417"/>
    <w:rsid w:val="00397228"/>
    <w:rsid w:val="003F7D54"/>
    <w:rsid w:val="0041738A"/>
    <w:rsid w:val="004F7F93"/>
    <w:rsid w:val="005061DA"/>
    <w:rsid w:val="005A00FF"/>
    <w:rsid w:val="005E7C0D"/>
    <w:rsid w:val="00612912"/>
    <w:rsid w:val="0062392F"/>
    <w:rsid w:val="006948F2"/>
    <w:rsid w:val="006C7512"/>
    <w:rsid w:val="006E4E49"/>
    <w:rsid w:val="006F270B"/>
    <w:rsid w:val="007457C4"/>
    <w:rsid w:val="00767F27"/>
    <w:rsid w:val="00782B3E"/>
    <w:rsid w:val="007A2F8E"/>
    <w:rsid w:val="0088023B"/>
    <w:rsid w:val="008A08D6"/>
    <w:rsid w:val="008B5999"/>
    <w:rsid w:val="008E6F9C"/>
    <w:rsid w:val="009545B8"/>
    <w:rsid w:val="009E233D"/>
    <w:rsid w:val="009F04A5"/>
    <w:rsid w:val="009F7A33"/>
    <w:rsid w:val="00A22D3B"/>
    <w:rsid w:val="00AB02F1"/>
    <w:rsid w:val="00AB0FA9"/>
    <w:rsid w:val="00B21522"/>
    <w:rsid w:val="00C036CA"/>
    <w:rsid w:val="00C41520"/>
    <w:rsid w:val="00C57520"/>
    <w:rsid w:val="00C85E38"/>
    <w:rsid w:val="00CE0AB0"/>
    <w:rsid w:val="00CF5A89"/>
    <w:rsid w:val="00D1367C"/>
    <w:rsid w:val="00D86D77"/>
    <w:rsid w:val="00DC6A74"/>
    <w:rsid w:val="00DF258A"/>
    <w:rsid w:val="00E10F71"/>
    <w:rsid w:val="00E1285C"/>
    <w:rsid w:val="00E57795"/>
    <w:rsid w:val="00E83208"/>
    <w:rsid w:val="00ED65A4"/>
    <w:rsid w:val="00F539E3"/>
    <w:rsid w:val="00FB5ACD"/>
    <w:rsid w:val="00FE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B269"/>
  <w15:docId w15:val="{429AEB20-C679-4DD3-B4A4-785484A5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032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4E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F7A3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0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07A1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075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D1367C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C575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5752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5752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75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752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6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1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3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08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098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9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8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85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72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4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28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29746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471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6451">
          <w:marLeft w:val="446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1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3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59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5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07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3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103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3187">
          <w:marLeft w:val="44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3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46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99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15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7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6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9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1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99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7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0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0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taliadomani.gov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9B868-AEDD-48D4-AEA8-0B9259FC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CavelliCM</dc:creator>
  <cp:lastModifiedBy>Viscomi Francesco</cp:lastModifiedBy>
  <cp:revision>2</cp:revision>
  <cp:lastPrinted>2022-08-02T08:31:00Z</cp:lastPrinted>
  <dcterms:created xsi:type="dcterms:W3CDTF">2022-09-21T07:35:00Z</dcterms:created>
  <dcterms:modified xsi:type="dcterms:W3CDTF">2022-09-21T07:35:00Z</dcterms:modified>
</cp:coreProperties>
</file>