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B9" w:rsidRDefault="00240732">
      <w:pPr>
        <w:pStyle w:val="Standard"/>
        <w:pBdr>
          <w:top w:val="single" w:sz="4" w:space="1" w:color="00000A"/>
          <w:left w:val="single" w:sz="4" w:space="4" w:color="00000A"/>
          <w:bottom w:val="single" w:sz="4" w:space="1" w:color="00000A"/>
          <w:right w:val="single" w:sz="4" w:space="4" w:color="00000A"/>
        </w:pBdr>
        <w:spacing w:before="120" w:line="360" w:lineRule="auto"/>
        <w:jc w:val="center"/>
      </w:pPr>
      <w:bookmarkStart w:id="0" w:name="_GoBack"/>
      <w:bookmarkEnd w:id="0"/>
      <w:r>
        <w:rPr>
          <w:rFonts w:ascii="Calibri" w:hAnsi="Calibri"/>
          <w:b/>
          <w:sz w:val="32"/>
          <w:szCs w:val="24"/>
        </w:rPr>
        <w:t>FONDO NAZIONALE TRASPORTI: RICHIESTE DI IMPEGNI AL GOVERNO</w:t>
      </w:r>
    </w:p>
    <w:p w:rsidR="00EC5CB9" w:rsidRDefault="00EC5CB9">
      <w:pPr>
        <w:pStyle w:val="Paragrafoelenco"/>
        <w:spacing w:before="120" w:line="360" w:lineRule="auto"/>
        <w:jc w:val="both"/>
        <w:rPr>
          <w:rFonts w:ascii="Calibri" w:hAnsi="Calibri"/>
          <w:sz w:val="24"/>
          <w:szCs w:val="24"/>
        </w:rPr>
      </w:pPr>
    </w:p>
    <w:p w:rsidR="00EC5CB9" w:rsidRDefault="00240732">
      <w:pPr>
        <w:pStyle w:val="Paragrafoelenco"/>
        <w:numPr>
          <w:ilvl w:val="0"/>
          <w:numId w:val="13"/>
        </w:numPr>
        <w:spacing w:before="120" w:line="360" w:lineRule="auto"/>
        <w:jc w:val="both"/>
      </w:pPr>
      <w:r>
        <w:rPr>
          <w:rFonts w:ascii="Calibri" w:hAnsi="Calibri"/>
          <w:i/>
          <w:sz w:val="24"/>
          <w:szCs w:val="24"/>
          <w:u w:val="single"/>
        </w:rPr>
        <w:t>Il settore del Trasporto Pubblico: riduzione delle risorse - aumento della qualità</w:t>
      </w:r>
    </w:p>
    <w:p w:rsidR="00EC5CB9" w:rsidRDefault="00240732">
      <w:pPr>
        <w:pStyle w:val="Standard"/>
        <w:spacing w:before="120" w:line="360" w:lineRule="auto"/>
        <w:jc w:val="both"/>
      </w:pPr>
      <w:r>
        <w:rPr>
          <w:rFonts w:ascii="Calibri" w:hAnsi="Calibri"/>
          <w:sz w:val="24"/>
          <w:szCs w:val="24"/>
        </w:rPr>
        <w:t>Il TPL è un settore ove alla sostanziale riduzione dei finanziamenti - a partire dai cosiddetti “tagli lineari” del 2010 - si è, nel tempo, sommata anche una continua richiesta di efficienza/efficacia - posta a premessa degli atti costitutivi del Fondo - con la richiesta, fatta alle Regioni, di predisposizione di adeguati Piani di riorganizzazione dei servizi - via via controllata ed annualmente verificata, in sede di riparto del Fondo stesso, con l’applicazione di penali legate ai parametri quantitativi e qualitativi del servizio offerto.</w:t>
      </w:r>
    </w:p>
    <w:p w:rsidR="00EC5CB9" w:rsidRDefault="00240732">
      <w:pPr>
        <w:pStyle w:val="Standard"/>
        <w:spacing w:before="120" w:line="360" w:lineRule="auto"/>
        <w:jc w:val="both"/>
      </w:pPr>
      <w:r>
        <w:rPr>
          <w:rFonts w:ascii="Calibri" w:hAnsi="Calibri"/>
          <w:sz w:val="24"/>
          <w:szCs w:val="24"/>
        </w:rPr>
        <w:t>Operazioni di riduzione dei finanziamenti nell’ambito del TPL- per il raggiungimento dei citati parametri quali-quantitativi - sono inique e tali da determinare, a fronte di ormai solo residuali margini di efficientamento, una sostanziale riduzione del servizio offerto e quindi di una inopinata compressione di un diritto costituzionalmente riconosciuto e tutelato, quale quello della mobilità.</w:t>
      </w:r>
    </w:p>
    <w:p w:rsidR="00EC5CB9" w:rsidRDefault="00240732">
      <w:pPr>
        <w:pStyle w:val="Paragrafoelenco"/>
        <w:numPr>
          <w:ilvl w:val="0"/>
          <w:numId w:val="7"/>
        </w:numPr>
        <w:spacing w:before="120" w:line="360" w:lineRule="auto"/>
        <w:jc w:val="both"/>
      </w:pPr>
      <w:r>
        <w:rPr>
          <w:rFonts w:ascii="Calibri" w:hAnsi="Calibri"/>
          <w:i/>
          <w:sz w:val="24"/>
          <w:szCs w:val="24"/>
          <w:u w:val="single"/>
        </w:rPr>
        <w:t>Stabilizzazione del Fondo Nazionale Trasporti: norma non applicata</w:t>
      </w:r>
    </w:p>
    <w:p w:rsidR="00EC5CB9" w:rsidRDefault="00240732">
      <w:pPr>
        <w:pStyle w:val="Standard"/>
        <w:spacing w:before="120" w:line="360" w:lineRule="auto"/>
        <w:jc w:val="both"/>
      </w:pPr>
      <w:r>
        <w:rPr>
          <w:rFonts w:ascii="Calibri" w:hAnsi="Calibri"/>
          <w:sz w:val="24"/>
          <w:szCs w:val="24"/>
        </w:rPr>
        <w:t>L’articolo 27 del DL 50/2017 ha definito che il Fondo nazionale trasporti, a decorrere dal 2018, è pari a 4.932.554.000 euro</w:t>
      </w:r>
      <w:r w:rsidR="00A24CF9">
        <w:rPr>
          <w:rFonts w:ascii="Calibri" w:hAnsi="Calibri"/>
          <w:sz w:val="24"/>
          <w:szCs w:val="24"/>
        </w:rPr>
        <w:t xml:space="preserve"> (quota per la Calabria pari al 4,28%, ovvero 211.113.311 euro, </w:t>
      </w:r>
      <w:r w:rsidR="00A24CF9" w:rsidRPr="00A24CF9">
        <w:rPr>
          <w:rFonts w:ascii="Calibri" w:hAnsi="Calibri"/>
          <w:i/>
          <w:sz w:val="24"/>
          <w:szCs w:val="24"/>
        </w:rPr>
        <w:t>ndr</w:t>
      </w:r>
      <w:r w:rsidR="00A24CF9">
        <w:rPr>
          <w:rFonts w:ascii="Calibri" w:hAnsi="Calibri"/>
          <w:sz w:val="24"/>
          <w:szCs w:val="24"/>
        </w:rPr>
        <w:t>)</w:t>
      </w:r>
      <w:r>
        <w:rPr>
          <w:rFonts w:ascii="Calibri" w:hAnsi="Calibri"/>
          <w:sz w:val="24"/>
          <w:szCs w:val="24"/>
        </w:rPr>
        <w:t>; a fronte di ciò per il 2019:</w:t>
      </w:r>
    </w:p>
    <w:p w:rsidR="00EC5CB9" w:rsidRDefault="00240732">
      <w:pPr>
        <w:pStyle w:val="Paragrafoelenco"/>
        <w:numPr>
          <w:ilvl w:val="0"/>
          <w:numId w:val="14"/>
        </w:numPr>
        <w:spacing w:before="120" w:line="360" w:lineRule="auto"/>
        <w:jc w:val="both"/>
      </w:pPr>
      <w:r>
        <w:rPr>
          <w:rFonts w:ascii="Calibri" w:hAnsi="Calibri"/>
          <w:sz w:val="24"/>
          <w:szCs w:val="24"/>
        </w:rPr>
        <w:t>lo stanziamento complessivo è risultato pari a 4.874.554.000 euro</w:t>
      </w:r>
      <w:r w:rsidR="00A24CF9">
        <w:rPr>
          <w:rFonts w:ascii="Calibri" w:hAnsi="Calibri"/>
          <w:sz w:val="24"/>
          <w:szCs w:val="24"/>
        </w:rPr>
        <w:t xml:space="preserve"> (quota per la Calabria pari al 4,28%, ovvero 208.630.911 euro, </w:t>
      </w:r>
      <w:r w:rsidR="00A24CF9" w:rsidRPr="00A24CF9">
        <w:rPr>
          <w:rFonts w:ascii="Calibri" w:hAnsi="Calibri"/>
          <w:i/>
          <w:sz w:val="24"/>
          <w:szCs w:val="24"/>
        </w:rPr>
        <w:t>ndr</w:t>
      </w:r>
      <w:r w:rsidR="00A24CF9">
        <w:rPr>
          <w:rFonts w:ascii="Calibri" w:hAnsi="Calibri"/>
          <w:sz w:val="24"/>
          <w:szCs w:val="24"/>
        </w:rPr>
        <w:t>)</w:t>
      </w:r>
      <w:r>
        <w:rPr>
          <w:rFonts w:ascii="Calibri" w:hAnsi="Calibri"/>
          <w:sz w:val="24"/>
          <w:szCs w:val="24"/>
        </w:rPr>
        <w:t>, con un taglio netto di 58 milioni destinato alla fiscalizzazione del bonus fiscale per la detrazione degli abbonamenti ai mezzi pubblici previsto dalla Legge di Bilancio 2018 e al netto altresì di 2 mln destinati all’acquisto di mezzi di primo soccorso per i servizi di trasporto ferroviario;</w:t>
      </w:r>
    </w:p>
    <w:p w:rsidR="00EC5CB9" w:rsidRDefault="00240732">
      <w:pPr>
        <w:pStyle w:val="Paragrafoelenco"/>
        <w:numPr>
          <w:ilvl w:val="0"/>
          <w:numId w:val="6"/>
        </w:numPr>
        <w:spacing w:before="120" w:line="360" w:lineRule="auto"/>
        <w:jc w:val="both"/>
      </w:pPr>
      <w:r>
        <w:rPr>
          <w:rFonts w:ascii="Calibri" w:hAnsi="Calibri"/>
          <w:sz w:val="24"/>
          <w:szCs w:val="24"/>
        </w:rPr>
        <w:t>la legge 30 dicembre 2018, n. 145 (</w:t>
      </w:r>
      <w:r>
        <w:rPr>
          <w:rFonts w:ascii="Calibri" w:hAnsi="Calibri"/>
          <w:i/>
          <w:sz w:val="24"/>
          <w:szCs w:val="24"/>
        </w:rPr>
        <w:t>Legge di Bilancio 2019</w:t>
      </w:r>
      <w:r>
        <w:rPr>
          <w:rFonts w:ascii="Calibri" w:hAnsi="Calibri"/>
          <w:sz w:val="24"/>
          <w:szCs w:val="24"/>
        </w:rPr>
        <w:t>) ha previsto all’articolo 1, comma 1118, un accantonamento di 300 milioni di euro a valere sulle dotazioni di competenza e cassa del Fondo, che potranno essere resi disponibili, come previsto dal successivo comma 1119, solo e soltanto se, a seguito del monitoraggio previsto per il mese di luglio, gli andamenti dei conti pubblici saranno coerenti con il raggiungimento degli obiettivi programmatici per il 2019.</w:t>
      </w:r>
    </w:p>
    <w:p w:rsidR="00EC5CB9" w:rsidRDefault="00240732">
      <w:pPr>
        <w:pStyle w:val="Standard"/>
        <w:spacing w:before="120" w:line="360" w:lineRule="auto"/>
        <w:jc w:val="both"/>
      </w:pPr>
      <w:r>
        <w:rPr>
          <w:rFonts w:ascii="Calibri" w:hAnsi="Calibri"/>
          <w:sz w:val="24"/>
          <w:szCs w:val="24"/>
          <w:u w:val="single"/>
        </w:rPr>
        <w:t xml:space="preserve">Nell’ipotesi che si sta delineando altamente probabile che a fine luglio emerga il non rispetto delle condizioni di cui al comma 1119, non solo il fondo avrebbe un taglio esiziale di 300 mln di euro ma </w:t>
      </w:r>
      <w:r>
        <w:rPr>
          <w:rFonts w:ascii="Calibri" w:hAnsi="Calibri"/>
          <w:sz w:val="24"/>
          <w:szCs w:val="24"/>
          <w:u w:val="single"/>
        </w:rPr>
        <w:lastRenderedPageBreak/>
        <w:t>questo taglio sarebbe concentrato negli ultimi quattro mesi dell’anno in corso, avendo un impatto sui servizi almeno triplicato.</w:t>
      </w:r>
    </w:p>
    <w:p w:rsidR="00EC5CB9" w:rsidRDefault="00240732">
      <w:pPr>
        <w:pStyle w:val="Standard"/>
        <w:spacing w:before="120" w:line="360" w:lineRule="auto"/>
        <w:jc w:val="both"/>
      </w:pPr>
      <w:r>
        <w:rPr>
          <w:rFonts w:ascii="Calibri" w:hAnsi="Calibri"/>
          <w:sz w:val="24"/>
          <w:szCs w:val="24"/>
        </w:rPr>
        <w:t>Qualsiasi riduzione di servizi nell’ultimo quadrimestre, è tecnicamente inattuabile: sarebbe impossibile rinegoziare i contratti in quei tempi.</w:t>
      </w:r>
    </w:p>
    <w:p w:rsidR="00EC5CB9" w:rsidRDefault="00240732">
      <w:pPr>
        <w:pStyle w:val="Standard"/>
        <w:spacing w:before="120" w:line="360" w:lineRule="auto"/>
        <w:jc w:val="both"/>
      </w:pPr>
      <w:r>
        <w:rPr>
          <w:rFonts w:ascii="Calibri" w:hAnsi="Calibri"/>
          <w:sz w:val="24"/>
          <w:szCs w:val="24"/>
        </w:rPr>
        <w:t>Il decreto interministeriale per la ripartizione e l’erogazione dell’acconto dell’80% del Fondo evidenzia che, nell’ipotesi in cui l’accantonamento si trasformi in una riduzione del Fondo, le variazioni in diminuzione potranno trovare capienza nel riparto del saldo del 20%.</w:t>
      </w:r>
    </w:p>
    <w:p w:rsidR="00EC5CB9" w:rsidRDefault="00240732">
      <w:pPr>
        <w:pStyle w:val="Standard"/>
        <w:spacing w:before="120" w:line="360" w:lineRule="auto"/>
        <w:jc w:val="both"/>
      </w:pPr>
      <w:r>
        <w:rPr>
          <w:rFonts w:ascii="Calibri" w:hAnsi="Calibri"/>
          <w:sz w:val="24"/>
          <w:szCs w:val="24"/>
        </w:rPr>
        <w:t>Si sottolinea che già oggi le Regioni intervengono con risorse proprie alle compensazioni degli oneri di servizio.</w:t>
      </w:r>
    </w:p>
    <w:p w:rsidR="00EC5CB9" w:rsidRDefault="00240732">
      <w:pPr>
        <w:pStyle w:val="Standard"/>
        <w:spacing w:before="120" w:line="360" w:lineRule="auto"/>
        <w:jc w:val="both"/>
      </w:pPr>
      <w:r>
        <w:rPr>
          <w:rFonts w:ascii="Calibri" w:hAnsi="Calibri"/>
          <w:sz w:val="24"/>
          <w:szCs w:val="24"/>
        </w:rPr>
        <w:t>La Conferenza delle Regioni e Province Autonome è prontamente intervenuta su questa gravissima problematica:</w:t>
      </w:r>
    </w:p>
    <w:p w:rsidR="00EC5CB9" w:rsidRDefault="00240732">
      <w:pPr>
        <w:pStyle w:val="Paragrafoelenco"/>
        <w:numPr>
          <w:ilvl w:val="0"/>
          <w:numId w:val="6"/>
        </w:numPr>
        <w:spacing w:before="120" w:line="360" w:lineRule="auto"/>
        <w:jc w:val="both"/>
      </w:pPr>
      <w:r>
        <w:rPr>
          <w:rFonts w:ascii="Calibri" w:hAnsi="Calibri"/>
          <w:sz w:val="24"/>
          <w:szCs w:val="24"/>
        </w:rPr>
        <w:t>con nota del 17 gennaio 2019 nella quale ha rappresentato al Ministro delle Infrastrutture e dei Trasporti le criticità derivanti dall’accantonamento previsto dalla legge finanziaria, con gravi ripercussioni sul pagamento dei contratti stipulati, e ha chiesto di risolvere tale problematica considerato che la norma statale prevede che il Ministro possa chiedere di rimodulare l’accantonamento nell’ambito degli stati di previsione della spesa, ferma restando la neutralità degli effetti sui saldi di finanza pubblica;</w:t>
      </w:r>
    </w:p>
    <w:p w:rsidR="00EC5CB9" w:rsidRDefault="00240732">
      <w:pPr>
        <w:pStyle w:val="Paragrafoelenco"/>
        <w:numPr>
          <w:ilvl w:val="0"/>
          <w:numId w:val="6"/>
        </w:numPr>
        <w:spacing w:before="120" w:line="360" w:lineRule="auto"/>
        <w:jc w:val="both"/>
      </w:pPr>
      <w:r>
        <w:rPr>
          <w:rFonts w:ascii="Calibri" w:hAnsi="Calibri"/>
          <w:sz w:val="24"/>
          <w:szCs w:val="24"/>
        </w:rPr>
        <w:t>con successiva nota del 24 gennaio 2019 nella quale ha chiesto al Ministro per gli Affari regionale di inserire l’argomento all’ordine del giorno della prima Conferenza Stato-Regioni utile, considerata l’urgenza di individuare una soluzione al problema. Nel corso della seduta del 7 marzo 2019 della Conferenza dei Presidenti delle Regioni e Province Autonome è stata ribadita la preoccupazione delle Regioni nel non vedere ancora escluse formalmente le risorse del  FNT, dal Fondo di salvaguardia, ed è stato ribadito  il grave nocumento che il mancato superamento di questa esclusione potrà avere sulla tenuta di un sistema che è governato da contratti di servizio pubblico  puntuali e vincolanti.</w:t>
      </w:r>
    </w:p>
    <w:p w:rsidR="00EC5CB9" w:rsidRDefault="00240732">
      <w:pPr>
        <w:pStyle w:val="Standard"/>
        <w:spacing w:before="120" w:line="360" w:lineRule="auto"/>
        <w:jc w:val="both"/>
      </w:pPr>
      <w:r>
        <w:rPr>
          <w:rFonts w:ascii="Calibri" w:hAnsi="Calibri"/>
          <w:sz w:val="24"/>
          <w:szCs w:val="24"/>
        </w:rPr>
        <w:t>Deve essere chiaro che un taglio di queste proporzioni al Fondo Nazionale Trasporti ha un effetto dirompente per la tenuta del sistema con gravi conseguenze nell’ambito dei servizi al cittadino, della protezione del lavoro dei dipendenti del settore e della salvaguardia dell’ambiente e del benessere dei cittadini.</w:t>
      </w:r>
    </w:p>
    <w:p w:rsidR="00EC5CB9" w:rsidRDefault="00240732">
      <w:pPr>
        <w:pStyle w:val="Standard"/>
        <w:spacing w:before="120" w:line="360" w:lineRule="auto"/>
        <w:jc w:val="both"/>
      </w:pPr>
      <w:r>
        <w:rPr>
          <w:rFonts w:ascii="Calibri" w:hAnsi="Calibri"/>
          <w:sz w:val="24"/>
          <w:szCs w:val="24"/>
        </w:rPr>
        <w:t xml:space="preserve">Occorre inoltre evidenziare che la riduzione della dotazione del Fondo non può che comportare una più che proporzionale diminuzione del servizio, a meno che non si vada ad incidere </w:t>
      </w:r>
      <w:r>
        <w:rPr>
          <w:rFonts w:ascii="Calibri" w:hAnsi="Calibri"/>
          <w:sz w:val="24"/>
          <w:szCs w:val="24"/>
        </w:rPr>
        <w:lastRenderedPageBreak/>
        <w:t>direttamente sul livello occupazionale, sapendo che il costo del lavoro è circa il 60% dei costi totali di produzione del TPL, per cui una riduzione della produzione, determina risparmi immediati solo su una parte dei costi. In prospettiva una riduzione dei finanziamenti e, di conseguenza, delle produzioni non può non avere riflessi anche di carattere lavorativo/occupazionale : o dal punto di vista della consistenza degli organici o del peggioramento delle condizioni di lavoro o dell’aumento delle quote in sub-appalto.</w:t>
      </w:r>
    </w:p>
    <w:p w:rsidR="00EC5CB9" w:rsidRDefault="00240732">
      <w:pPr>
        <w:pStyle w:val="Standard"/>
        <w:spacing w:before="120" w:line="360" w:lineRule="auto"/>
        <w:jc w:val="both"/>
      </w:pPr>
      <w:r>
        <w:rPr>
          <w:rFonts w:ascii="Calibri" w:hAnsi="Calibri"/>
          <w:sz w:val="24"/>
          <w:szCs w:val="24"/>
        </w:rPr>
        <w:t>Da un rapido calcolo dei dati dell’Osservatorio, i circa 112.000 addetti del settore potrebbero essere ridotti dell’ordine stimato di 15.000 unità, con l’apertura di un tavolo di crisi epocale.</w:t>
      </w:r>
    </w:p>
    <w:p w:rsidR="00EC5CB9" w:rsidRDefault="00240732">
      <w:pPr>
        <w:pStyle w:val="Paragrafoelenco"/>
        <w:spacing w:before="120" w:line="360" w:lineRule="auto"/>
        <w:ind w:left="0"/>
        <w:jc w:val="both"/>
      </w:pPr>
      <w:r>
        <w:rPr>
          <w:rFonts w:ascii="Calibri" w:hAnsi="Calibri"/>
          <w:sz w:val="24"/>
          <w:szCs w:val="24"/>
        </w:rPr>
        <w:t>Bisogna, inoltre, ricordare che vi è una dinamica dei costi propria del comparto che non può essere sottovalutata - oltre a processi inflattivi e di aumento dei carburanti, a breve è previsto il rinnovo del CCNL per gli autoferrotranvieri - ulteriormente appesantita dalla riduzione dei finanziamenti statali direttamente trasferiti alle Aziende (oneri per malattia). In un prossimo futuro sono, inoltre, attesi maggiori oneri di investimento per i rinnovi o le conversioni delle flotte verso alimentazioni meno inquinanti ma di non trascurabile impatto economico, visti gli obblighi di cofinanziamento posti in carico alle Regioni stesse.</w:t>
      </w:r>
    </w:p>
    <w:p w:rsidR="00EC5CB9" w:rsidRDefault="00EC5CB9">
      <w:pPr>
        <w:pStyle w:val="Paragrafoelenco"/>
        <w:spacing w:before="120" w:line="360" w:lineRule="auto"/>
        <w:ind w:left="0"/>
        <w:jc w:val="both"/>
        <w:rPr>
          <w:rFonts w:ascii="Calibri" w:hAnsi="Calibri"/>
          <w:sz w:val="24"/>
          <w:szCs w:val="24"/>
        </w:rPr>
      </w:pPr>
    </w:p>
    <w:p w:rsidR="00EC5CB9" w:rsidRDefault="00240732">
      <w:pPr>
        <w:pStyle w:val="Paragrafoelenco"/>
        <w:spacing w:before="120" w:line="360" w:lineRule="auto"/>
        <w:ind w:left="0"/>
        <w:jc w:val="both"/>
      </w:pPr>
      <w:r>
        <w:rPr>
          <w:rFonts w:ascii="Calibri" w:hAnsi="Calibri"/>
          <w:b/>
          <w:sz w:val="24"/>
          <w:szCs w:val="24"/>
          <w:u w:val="single"/>
        </w:rPr>
        <w:t>Ad un aumento della domanda di mobilità, e ad un aumento dell’aspettativa/necessità di una sua maggiore sostenibilità, anche ambientale, non può essere opposta una netta riduzione dei servizi.</w:t>
      </w:r>
    </w:p>
    <w:p w:rsidR="00EC5CB9" w:rsidRDefault="00EC5CB9">
      <w:pPr>
        <w:pStyle w:val="Paragrafoelenco"/>
        <w:spacing w:before="120" w:line="360" w:lineRule="auto"/>
        <w:ind w:left="0"/>
        <w:jc w:val="both"/>
        <w:rPr>
          <w:rFonts w:ascii="Calibri" w:hAnsi="Calibri"/>
          <w:sz w:val="24"/>
          <w:szCs w:val="24"/>
        </w:rPr>
      </w:pPr>
    </w:p>
    <w:p w:rsidR="00EC5CB9" w:rsidRDefault="00240732">
      <w:pPr>
        <w:pStyle w:val="Paragrafoelenco"/>
        <w:spacing w:before="120" w:line="360" w:lineRule="auto"/>
        <w:ind w:left="0"/>
        <w:jc w:val="both"/>
      </w:pPr>
      <w:r>
        <w:rPr>
          <w:rFonts w:ascii="Calibri" w:hAnsi="Calibri"/>
          <w:sz w:val="24"/>
          <w:szCs w:val="24"/>
        </w:rPr>
        <w:t>Non vanno infine ignorati i possibili effetti giuridici sui contratti di servizio: il rischio è la nullità degli stessi per mancanza di copertura, come disposto dall’art. 19 del D.Lgs. 422/1997, e il conseguente ricorso a provvedimenti di emergenza ai sensi del comma 5 dell’art. 5 Reg. 1370/07 e s.m.i.</w:t>
      </w:r>
    </w:p>
    <w:p w:rsidR="00EC5CB9" w:rsidRDefault="00EC5CB9">
      <w:pPr>
        <w:pStyle w:val="Paragrafoelenco"/>
        <w:spacing w:before="120" w:line="360" w:lineRule="auto"/>
        <w:ind w:left="0"/>
        <w:jc w:val="both"/>
        <w:rPr>
          <w:rFonts w:ascii="Calibri" w:hAnsi="Calibri"/>
          <w:color w:val="FF0000"/>
          <w:sz w:val="24"/>
          <w:szCs w:val="24"/>
        </w:rPr>
      </w:pPr>
    </w:p>
    <w:p w:rsidR="00EC5CB9" w:rsidRDefault="00EC5CB9">
      <w:pPr>
        <w:pStyle w:val="Paragrafoelenco"/>
        <w:spacing w:before="120" w:line="360" w:lineRule="auto"/>
        <w:jc w:val="both"/>
        <w:rPr>
          <w:rFonts w:ascii="Calibri" w:hAnsi="Calibri"/>
          <w:sz w:val="24"/>
          <w:szCs w:val="24"/>
        </w:rPr>
      </w:pPr>
    </w:p>
    <w:p w:rsidR="00EC5CB9" w:rsidRDefault="00240732">
      <w:pPr>
        <w:pStyle w:val="Paragrafoelenco"/>
        <w:numPr>
          <w:ilvl w:val="0"/>
          <w:numId w:val="15"/>
        </w:numPr>
        <w:spacing w:before="120" w:line="360" w:lineRule="auto"/>
        <w:jc w:val="both"/>
      </w:pPr>
      <w:r>
        <w:rPr>
          <w:rFonts w:ascii="Calibri" w:hAnsi="Calibri"/>
          <w:i/>
          <w:sz w:val="24"/>
          <w:szCs w:val="24"/>
          <w:u w:val="single"/>
        </w:rPr>
        <w:t>Nuovi criteri di riparto del Fondo Nazionale Trasporti: Art. 27 del DL 50/2017 non attuabile</w:t>
      </w:r>
    </w:p>
    <w:p w:rsidR="00EC5CB9" w:rsidRDefault="00240732">
      <w:pPr>
        <w:pStyle w:val="Standard"/>
        <w:spacing w:before="120" w:line="360" w:lineRule="auto"/>
        <w:jc w:val="both"/>
      </w:pPr>
      <w:r>
        <w:rPr>
          <w:rFonts w:ascii="Calibri" w:hAnsi="Calibri"/>
          <w:sz w:val="24"/>
          <w:szCs w:val="24"/>
        </w:rPr>
        <w:t>Ad oggi non risultano avanzamenti dei lavori per l’attuazione del comma 2  dell’art. 27, che ridisegna i criteri di riparto del Fondo Nazionale Trasporti e le procedure volte all’applicazione del comma 2 bis, riferiti ai maggiori oneri per le variazioni dei canoni di RFI per l’accesso all’infrastruttura ferroviaria.</w:t>
      </w:r>
    </w:p>
    <w:p w:rsidR="00EC5CB9" w:rsidRDefault="00240732">
      <w:pPr>
        <w:pStyle w:val="Standard"/>
        <w:spacing w:before="120" w:line="360" w:lineRule="auto"/>
        <w:jc w:val="both"/>
      </w:pPr>
      <w:r>
        <w:rPr>
          <w:rFonts w:ascii="Calibri" w:hAnsi="Calibri"/>
          <w:sz w:val="24"/>
          <w:szCs w:val="24"/>
        </w:rPr>
        <w:t>Le Regioni, di fronte all’evidente difficoltà dell’attuazione del citato comma 2 e visto la conclusione del periodo transitorio di validità del DPCM 11 marzo 2013 e ss.mm.ii., prevista al comma 8 dell’art. 27, ritengono necessario, come chiesto più volte, una semplificazione delle modalità di riparto.</w:t>
      </w:r>
    </w:p>
    <w:p w:rsidR="00EC5CB9" w:rsidRDefault="00EC5CB9">
      <w:pPr>
        <w:pStyle w:val="Standard"/>
        <w:spacing w:before="120" w:line="360" w:lineRule="auto"/>
        <w:jc w:val="center"/>
        <w:rPr>
          <w:rFonts w:ascii="Calibri" w:hAnsi="Calibri"/>
          <w:b/>
          <w:sz w:val="24"/>
          <w:szCs w:val="24"/>
        </w:rPr>
      </w:pPr>
    </w:p>
    <w:p w:rsidR="00EC5CB9" w:rsidRDefault="00240732">
      <w:pPr>
        <w:pStyle w:val="Standard"/>
        <w:spacing w:before="120" w:line="360" w:lineRule="auto"/>
        <w:jc w:val="center"/>
      </w:pPr>
      <w:r>
        <w:rPr>
          <w:rFonts w:ascii="Calibri" w:hAnsi="Calibri"/>
          <w:b/>
          <w:sz w:val="24"/>
          <w:szCs w:val="24"/>
        </w:rPr>
        <w:t>Alla luce di quanto sopra esposto si impegna il Governo e il Ministro delle Infrastrutture e dei Trasporti e il Ministro delle Economia e delle Finanze a:</w:t>
      </w:r>
    </w:p>
    <w:p w:rsidR="00EC5CB9" w:rsidRDefault="00EC5CB9">
      <w:pPr>
        <w:pStyle w:val="Standard"/>
        <w:spacing w:before="120" w:line="360" w:lineRule="auto"/>
        <w:jc w:val="center"/>
        <w:rPr>
          <w:rFonts w:ascii="Calibri" w:hAnsi="Calibri"/>
          <w:b/>
          <w:sz w:val="24"/>
          <w:szCs w:val="24"/>
        </w:rPr>
      </w:pPr>
    </w:p>
    <w:p w:rsidR="00EC5CB9" w:rsidRDefault="00240732">
      <w:pPr>
        <w:pStyle w:val="Paragrafoelenco"/>
        <w:numPr>
          <w:ilvl w:val="0"/>
          <w:numId w:val="16"/>
        </w:numPr>
        <w:spacing w:before="120" w:line="360" w:lineRule="auto"/>
      </w:pPr>
      <w:r>
        <w:rPr>
          <w:rFonts w:ascii="Calibri" w:hAnsi="Calibri"/>
          <w:b/>
          <w:i/>
          <w:sz w:val="24"/>
          <w:szCs w:val="24"/>
        </w:rPr>
        <w:t>Con riguardo alla stabilizzazione del Fondo Nazionale Trasporti</w:t>
      </w:r>
    </w:p>
    <w:p w:rsidR="00EC5CB9" w:rsidRDefault="00240732">
      <w:pPr>
        <w:pStyle w:val="Paragrafoelenco"/>
        <w:numPr>
          <w:ilvl w:val="0"/>
          <w:numId w:val="17"/>
        </w:numPr>
        <w:spacing w:before="120" w:line="360" w:lineRule="auto"/>
        <w:jc w:val="both"/>
      </w:pPr>
      <w:r>
        <w:rPr>
          <w:rFonts w:ascii="Calibri" w:hAnsi="Calibri"/>
          <w:sz w:val="24"/>
          <w:szCs w:val="24"/>
        </w:rPr>
        <w:t>individuare capitoli di spesa alternativi sui quali accantonare la somma complessiva di 300 milioni di euro, senza attendere il previsto monitoraggio di luglio di cui al comma 1119;</w:t>
      </w:r>
    </w:p>
    <w:p w:rsidR="00EC5CB9" w:rsidRDefault="00240732">
      <w:pPr>
        <w:pStyle w:val="Paragrafoelenco"/>
        <w:numPr>
          <w:ilvl w:val="0"/>
          <w:numId w:val="5"/>
        </w:numPr>
        <w:spacing w:before="120" w:line="360" w:lineRule="auto"/>
        <w:jc w:val="both"/>
      </w:pPr>
      <w:r>
        <w:rPr>
          <w:rFonts w:ascii="Calibri" w:hAnsi="Calibri"/>
          <w:sz w:val="24"/>
          <w:szCs w:val="24"/>
        </w:rPr>
        <w:t>stabilizzare le risorse del Fondo Nazionale Trasporti almeno ai  4.932.554.000 euro previsti dall’art. 27, comma 1, del DL 50/2017</w:t>
      </w:r>
    </w:p>
    <w:p w:rsidR="00EC5CB9" w:rsidRDefault="00240732">
      <w:pPr>
        <w:pStyle w:val="Paragrafoelenco"/>
        <w:numPr>
          <w:ilvl w:val="0"/>
          <w:numId w:val="5"/>
        </w:numPr>
        <w:spacing w:before="120" w:line="360" w:lineRule="auto"/>
        <w:jc w:val="both"/>
      </w:pPr>
      <w:r>
        <w:rPr>
          <w:rFonts w:ascii="Calibri" w:hAnsi="Calibri"/>
          <w:sz w:val="24"/>
          <w:szCs w:val="24"/>
        </w:rPr>
        <w:t>prevedere meccanismi di adeguamento, periodico o a scadenze fisse, dell’ammontare del Fondo stesso per tener conto delle dinamiche inflattive e, più in generale, dell’andamento dei costi di settore.</w:t>
      </w:r>
    </w:p>
    <w:p w:rsidR="00EC5CB9" w:rsidRDefault="00EC5CB9">
      <w:pPr>
        <w:pStyle w:val="Standard"/>
        <w:spacing w:before="120" w:line="360" w:lineRule="auto"/>
        <w:ind w:left="360"/>
        <w:jc w:val="both"/>
        <w:rPr>
          <w:rFonts w:ascii="Calibri" w:hAnsi="Calibri"/>
          <w:sz w:val="24"/>
          <w:szCs w:val="24"/>
        </w:rPr>
      </w:pPr>
    </w:p>
    <w:p w:rsidR="00EC5CB9" w:rsidRDefault="00240732">
      <w:pPr>
        <w:pStyle w:val="Paragrafoelenco"/>
        <w:numPr>
          <w:ilvl w:val="0"/>
          <w:numId w:val="18"/>
        </w:numPr>
        <w:spacing w:before="120" w:line="360" w:lineRule="auto"/>
      </w:pPr>
      <w:r>
        <w:rPr>
          <w:rFonts w:ascii="Calibri" w:hAnsi="Calibri"/>
          <w:b/>
          <w:i/>
          <w:sz w:val="24"/>
          <w:szCs w:val="24"/>
        </w:rPr>
        <w:t>Con riguardo ai criteri di riparto del Fondo Nazionale Trasporti</w:t>
      </w:r>
    </w:p>
    <w:p w:rsidR="00EC5CB9" w:rsidRDefault="00240732">
      <w:pPr>
        <w:pStyle w:val="Paragrafoelenco"/>
        <w:numPr>
          <w:ilvl w:val="0"/>
          <w:numId w:val="19"/>
        </w:numPr>
        <w:spacing w:before="120" w:line="360" w:lineRule="auto"/>
        <w:jc w:val="both"/>
      </w:pPr>
      <w:r>
        <w:rPr>
          <w:rFonts w:ascii="Calibri" w:hAnsi="Calibri"/>
          <w:sz w:val="24"/>
          <w:szCs w:val="24"/>
        </w:rPr>
        <w:t>la riattivazione, da parte del Ministero, del Gruppo di Lavoro per dare attuazione all’art. 27 del DL 50/2017 modificandone però gli aspetti che rendono difficile l’applicazione e la gestione dei nuovi criteri di riparto del FNT definendo delle modalità snelle di assegnazione ed erogazione che non pregiudichino gli equilibri dei bilanci regionali e degli affidamenti del trasporto pubblico locale e regionale</w:t>
      </w:r>
    </w:p>
    <w:p w:rsidR="00EC5CB9" w:rsidRDefault="00EC5CB9">
      <w:pPr>
        <w:pStyle w:val="Standard"/>
        <w:spacing w:before="120" w:line="360" w:lineRule="auto"/>
        <w:jc w:val="both"/>
        <w:rPr>
          <w:rFonts w:ascii="Calibri" w:hAnsi="Calibri"/>
          <w:sz w:val="24"/>
          <w:szCs w:val="24"/>
        </w:rPr>
      </w:pPr>
    </w:p>
    <w:p w:rsidR="00EC5CB9" w:rsidRDefault="00EC5CB9">
      <w:pPr>
        <w:pStyle w:val="Standard"/>
        <w:spacing w:before="120" w:line="360" w:lineRule="auto"/>
        <w:jc w:val="both"/>
      </w:pPr>
    </w:p>
    <w:sectPr w:rsidR="00EC5CB9" w:rsidSect="003B3B9B">
      <w:footerReference w:type="default" r:id="rId8"/>
      <w:pgSz w:w="11906" w:h="16838"/>
      <w:pgMar w:top="1135" w:right="1134" w:bottom="1134"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CE" w:rsidRDefault="001C58CE">
      <w:r>
        <w:separator/>
      </w:r>
    </w:p>
  </w:endnote>
  <w:endnote w:type="continuationSeparator" w:id="0">
    <w:p w:rsidR="001C58CE" w:rsidRDefault="001C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B1" w:rsidRDefault="003B3B9B">
    <w:pPr>
      <w:pStyle w:val="Pidipagina"/>
    </w:pPr>
    <w:r>
      <w:fldChar w:fldCharType="begin"/>
    </w:r>
    <w:r w:rsidR="00240732">
      <w:instrText xml:space="preserve"> PAGE </w:instrText>
    </w:r>
    <w:r>
      <w:fldChar w:fldCharType="separate"/>
    </w:r>
    <w:r w:rsidR="00F640D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CE" w:rsidRDefault="001C58CE">
      <w:r>
        <w:rPr>
          <w:color w:val="000000"/>
        </w:rPr>
        <w:separator/>
      </w:r>
    </w:p>
  </w:footnote>
  <w:footnote w:type="continuationSeparator" w:id="0">
    <w:p w:rsidR="001C58CE" w:rsidRDefault="001C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0D"/>
    <w:multiLevelType w:val="multilevel"/>
    <w:tmpl w:val="FE84A374"/>
    <w:styleLink w:val="WWNum5"/>
    <w:lvl w:ilvl="0">
      <w:numFmt w:val="bullet"/>
      <w:lvlText w:val="-"/>
      <w:lvlJc w:val="left"/>
      <w:rPr>
        <w:rFonts w:ascii="Calibri" w:eastAsia="Times New Roman" w:hAnsi="Calibri"/>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BD947C6"/>
    <w:multiLevelType w:val="multilevel"/>
    <w:tmpl w:val="92007362"/>
    <w:styleLink w:val="WWNum1"/>
    <w:lvl w:ilvl="0">
      <w:numFmt w:val="bullet"/>
      <w:lvlText w:val="-"/>
      <w:lvlJc w:val="left"/>
      <w:rPr>
        <w:rFonts w:eastAsia="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BE87F00"/>
    <w:multiLevelType w:val="multilevel"/>
    <w:tmpl w:val="0BC0482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17B5AA7"/>
    <w:multiLevelType w:val="multilevel"/>
    <w:tmpl w:val="277E78FA"/>
    <w:styleLink w:val="WWNum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1FD26585"/>
    <w:multiLevelType w:val="multilevel"/>
    <w:tmpl w:val="E7901A0E"/>
    <w:styleLink w:val="WWNum9"/>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305859CD"/>
    <w:multiLevelType w:val="multilevel"/>
    <w:tmpl w:val="882C684E"/>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3E8538E7"/>
    <w:multiLevelType w:val="multilevel"/>
    <w:tmpl w:val="5EE8589E"/>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57E83988"/>
    <w:multiLevelType w:val="multilevel"/>
    <w:tmpl w:val="B4362726"/>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70D30F9F"/>
    <w:multiLevelType w:val="multilevel"/>
    <w:tmpl w:val="E708BA0A"/>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72057FE6"/>
    <w:multiLevelType w:val="multilevel"/>
    <w:tmpl w:val="E9365F0C"/>
    <w:styleLink w:val="WWNum11"/>
    <w:lvl w:ilvl="0">
      <w:numFmt w:val="bullet"/>
      <w:lvlText w:val="-"/>
      <w:lvlJc w:val="left"/>
      <w:rPr>
        <w:rFonts w:ascii="Calibri" w:eastAsia="Times New Roman" w:hAnsi="Calibri"/>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75811E16"/>
    <w:multiLevelType w:val="multilevel"/>
    <w:tmpl w:val="EDF674AA"/>
    <w:styleLink w:val="WWNum12"/>
    <w:lvl w:ilvl="0">
      <w:numFmt w:val="bullet"/>
      <w:lvlText w:val="-"/>
      <w:lvlJc w:val="left"/>
      <w:rPr>
        <w:rFonts w:ascii="Calibri" w:eastAsia="Times New Roman" w:hAnsi="Calibri"/>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7F1345C0"/>
    <w:multiLevelType w:val="multilevel"/>
    <w:tmpl w:val="488EBC28"/>
    <w:styleLink w:val="WWNum10"/>
    <w:lvl w:ilvl="0">
      <w:numFmt w:val="bullet"/>
      <w:lvlText w:val=""/>
      <w:lvlJc w:val="left"/>
      <w:rPr>
        <w:rFonts w:ascii="Wingdings" w:hAnsi="Wingdings"/>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1"/>
  </w:num>
  <w:num w:numId="2">
    <w:abstractNumId w:val="8"/>
  </w:num>
  <w:num w:numId="3">
    <w:abstractNumId w:val="7"/>
  </w:num>
  <w:num w:numId="4">
    <w:abstractNumId w:val="5"/>
  </w:num>
  <w:num w:numId="5">
    <w:abstractNumId w:val="0"/>
  </w:num>
  <w:num w:numId="6">
    <w:abstractNumId w:val="2"/>
  </w:num>
  <w:num w:numId="7">
    <w:abstractNumId w:val="3"/>
  </w:num>
  <w:num w:numId="8">
    <w:abstractNumId w:val="6"/>
  </w:num>
  <w:num w:numId="9">
    <w:abstractNumId w:val="4"/>
  </w:num>
  <w:num w:numId="10">
    <w:abstractNumId w:val="11"/>
  </w:num>
  <w:num w:numId="11">
    <w:abstractNumId w:val="9"/>
  </w:num>
  <w:num w:numId="12">
    <w:abstractNumId w:val="10"/>
  </w:num>
  <w:num w:numId="13">
    <w:abstractNumId w:val="3"/>
  </w:num>
  <w:num w:numId="14">
    <w:abstractNumId w:val="2"/>
  </w:num>
  <w:num w:numId="15">
    <w:abstractNumId w:val="3"/>
  </w:num>
  <w:num w:numId="16">
    <w:abstractNumId w:val="6"/>
    <w:lvlOverride w:ilvl="0">
      <w:startOverride w:val="1"/>
    </w:lvlOverride>
  </w:num>
  <w:num w:numId="17">
    <w:abstractNumId w:val="0"/>
  </w:num>
  <w:num w:numId="18">
    <w:abstractNumId w:val="6"/>
    <w:lvlOverride w:ilvl="0">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B9"/>
    <w:rsid w:val="001C58CE"/>
    <w:rsid w:val="00240732"/>
    <w:rsid w:val="002F36AB"/>
    <w:rsid w:val="003B3B9B"/>
    <w:rsid w:val="00A24CF9"/>
    <w:rsid w:val="00B9198B"/>
    <w:rsid w:val="00EC5CB9"/>
    <w:rsid w:val="00F640DA"/>
    <w:rsid w:val="00FF3B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StrongEmphasis">
    <w:name w:val="Strong Emphasis"/>
    <w:rPr>
      <w:rFonts w:cs="Times New Roman"/>
      <w:b/>
      <w:bCs/>
    </w:rPr>
  </w:style>
  <w:style w:type="character" w:customStyle="1" w:styleId="TestofumettoCarattere">
    <w:name w:val="Testo fumetto Carattere"/>
    <w:rPr>
      <w:rFonts w:ascii="Tahoma" w:hAnsi="Tahoma" w:cs="Tahoma"/>
      <w:sz w:val="16"/>
      <w:szCs w:val="16"/>
      <w:lang w:eastAsia="it-IT"/>
    </w:rPr>
  </w:style>
  <w:style w:type="character" w:customStyle="1" w:styleId="IntestazioneCarattere">
    <w:name w:val="Intestazione Carattere"/>
    <w:rPr>
      <w:rFonts w:ascii="Times New Roman" w:hAnsi="Times New Roman" w:cs="Times New Roman"/>
      <w:sz w:val="20"/>
      <w:szCs w:val="20"/>
      <w:lang w:eastAsia="it-IT"/>
    </w:rPr>
  </w:style>
  <w:style w:type="character" w:customStyle="1" w:styleId="PidipaginaCarattere">
    <w:name w:val="Piè di pagina Carattere"/>
    <w:rPr>
      <w:rFonts w:ascii="Times New Roman" w:hAnsi="Times New Roman" w:cs="Times New Roman"/>
      <w:sz w:val="20"/>
      <w:szCs w:val="20"/>
      <w:lang w:eastAsia="it-IT"/>
    </w:rPr>
  </w:style>
  <w:style w:type="character" w:customStyle="1" w:styleId="ListLabel1">
    <w:name w:val="ListLabel 1"/>
    <w:rPr>
      <w:rFonts w:eastAsia="Times New Roman"/>
    </w:rPr>
  </w:style>
  <w:style w:type="character" w:customStyle="1" w:styleId="ListLabel2">
    <w:name w:val="ListLabel 2"/>
    <w:rPr>
      <w:rFonts w:cs="Times New Roman"/>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StrongEmphasis">
    <w:name w:val="Strong Emphasis"/>
    <w:rPr>
      <w:rFonts w:cs="Times New Roman"/>
      <w:b/>
      <w:bCs/>
    </w:rPr>
  </w:style>
  <w:style w:type="character" w:customStyle="1" w:styleId="TestofumettoCarattere">
    <w:name w:val="Testo fumetto Carattere"/>
    <w:rPr>
      <w:rFonts w:ascii="Tahoma" w:hAnsi="Tahoma" w:cs="Tahoma"/>
      <w:sz w:val="16"/>
      <w:szCs w:val="16"/>
      <w:lang w:eastAsia="it-IT"/>
    </w:rPr>
  </w:style>
  <w:style w:type="character" w:customStyle="1" w:styleId="IntestazioneCarattere">
    <w:name w:val="Intestazione Carattere"/>
    <w:rPr>
      <w:rFonts w:ascii="Times New Roman" w:hAnsi="Times New Roman" w:cs="Times New Roman"/>
      <w:sz w:val="20"/>
      <w:szCs w:val="20"/>
      <w:lang w:eastAsia="it-IT"/>
    </w:rPr>
  </w:style>
  <w:style w:type="character" w:customStyle="1" w:styleId="PidipaginaCarattere">
    <w:name w:val="Piè di pagina Carattere"/>
    <w:rPr>
      <w:rFonts w:ascii="Times New Roman" w:hAnsi="Times New Roman" w:cs="Times New Roman"/>
      <w:sz w:val="20"/>
      <w:szCs w:val="20"/>
      <w:lang w:eastAsia="it-IT"/>
    </w:rPr>
  </w:style>
  <w:style w:type="character" w:customStyle="1" w:styleId="ListLabel1">
    <w:name w:val="ListLabel 1"/>
    <w:rPr>
      <w:rFonts w:eastAsia="Times New Roman"/>
    </w:rPr>
  </w:style>
  <w:style w:type="character" w:customStyle="1" w:styleId="ListLabel2">
    <w:name w:val="ListLabel 2"/>
    <w:rPr>
      <w:rFonts w:cs="Times New Roman"/>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“Garanzie instabili di stabilità al Fondo nazionale trasporti”</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“Garanzie instabili di stabilità al Fondo nazionale trasporti”</dc:title>
  <dc:creator>Badolati Paola</dc:creator>
  <cp:lastModifiedBy>Giulia</cp:lastModifiedBy>
  <cp:revision>2</cp:revision>
  <cp:lastPrinted>2019-04-02T09:51:00Z</cp:lastPrinted>
  <dcterms:created xsi:type="dcterms:W3CDTF">2019-04-03T16:22:00Z</dcterms:created>
  <dcterms:modified xsi:type="dcterms:W3CDTF">2019-04-03T16:22:00Z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Liguria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